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方正小标宋简体" w:eastAsia="方正小标宋简体" w:cs="方正小标宋简体"/>
          <w:bCs/>
          <w:color w:val="000000" w:themeColor="text1"/>
          <w:kern w:val="0"/>
          <w:sz w:val="44"/>
          <w:szCs w:val="44"/>
          <w:highlight w:val="none"/>
          <w:u w:val="none"/>
          <w14:textFill>
            <w14:solidFill>
              <w14:schemeClr w14:val="tx1"/>
            </w14:solidFill>
          </w14:textFill>
        </w:rPr>
      </w:pPr>
      <w:bookmarkStart w:id="0" w:name="_GoBack"/>
      <w:bookmarkEnd w:id="0"/>
      <w:r>
        <w:rPr>
          <w:rFonts w:hint="eastAsia" w:ascii="方正小标宋简体" w:hAnsi="方正小标宋简体" w:eastAsia="方正小标宋简体" w:cs="方正小标宋简体"/>
          <w:bCs/>
          <w:color w:val="000000" w:themeColor="text1"/>
          <w:kern w:val="0"/>
          <w:sz w:val="44"/>
          <w:szCs w:val="44"/>
          <w:highlight w:val="none"/>
          <w:u w:val="none"/>
          <w:lang w:val="en-US" w:eastAsia="zh-CN"/>
          <w14:textFill>
            <w14:solidFill>
              <w14:schemeClr w14:val="tx1"/>
            </w14:solidFill>
          </w14:textFill>
        </w:rPr>
        <w:t>深圳市</w:t>
      </w:r>
      <w:r>
        <w:rPr>
          <w:rFonts w:hint="eastAsia" w:ascii="方正小标宋简体" w:hAnsi="方正小标宋简体" w:eastAsia="方正小标宋简体" w:cs="方正小标宋简体"/>
          <w:bCs/>
          <w:color w:val="000000" w:themeColor="text1"/>
          <w:kern w:val="0"/>
          <w:sz w:val="44"/>
          <w:szCs w:val="44"/>
          <w:highlight w:val="none"/>
          <w:u w:val="none"/>
          <w14:textFill>
            <w14:solidFill>
              <w14:schemeClr w14:val="tx1"/>
            </w14:solidFill>
          </w14:textFill>
        </w:rPr>
        <w:t>龙华区促进集成电路</w:t>
      </w:r>
      <w:r>
        <w:rPr>
          <w:rFonts w:hint="eastAsia" w:ascii="方正小标宋简体" w:hAnsi="方正小标宋简体" w:eastAsia="方正小标宋简体" w:cs="方正小标宋简体"/>
          <w:bCs/>
          <w:color w:val="000000" w:themeColor="text1"/>
          <w:kern w:val="0"/>
          <w:sz w:val="44"/>
          <w:szCs w:val="44"/>
          <w:highlight w:val="none"/>
          <w:u w:val="none"/>
          <w:lang w:val="en-US" w:eastAsia="zh-CN"/>
          <w14:textFill>
            <w14:solidFill>
              <w14:schemeClr w14:val="tx1"/>
            </w14:solidFill>
          </w14:textFill>
        </w:rPr>
        <w:t>产业</w:t>
      </w:r>
      <w:r>
        <w:rPr>
          <w:rFonts w:hint="eastAsia" w:ascii="方正小标宋简体" w:hAnsi="方正小标宋简体" w:eastAsia="方正小标宋简体" w:cs="方正小标宋简体"/>
          <w:bCs/>
          <w:color w:val="000000" w:themeColor="text1"/>
          <w:kern w:val="0"/>
          <w:sz w:val="44"/>
          <w:szCs w:val="44"/>
          <w:highlight w:val="none"/>
          <w:u w:val="none"/>
          <w14:textFill>
            <w14:solidFill>
              <w14:schemeClr w14:val="tx1"/>
            </w14:solidFill>
          </w14:textFill>
        </w:rPr>
        <w:t>发展若干措施</w:t>
      </w:r>
    </w:p>
    <w:p>
      <w:pPr>
        <w:widowControl/>
        <w:jc w:val="center"/>
        <w:rPr>
          <w:rFonts w:ascii="仿宋_GB2312" w:hAnsi="仿宋_GB2312" w:eastAsia="仿宋_GB2312" w:cs="仿宋_GB2312"/>
          <w:color w:val="000000" w:themeColor="text1"/>
          <w:kern w:val="0"/>
          <w:sz w:val="32"/>
          <w:szCs w:val="32"/>
          <w:highlight w:val="none"/>
          <w:u w:val="none"/>
          <w14:textFill>
            <w14:solidFill>
              <w14:schemeClr w14:val="tx1"/>
            </w14:solidFill>
          </w14:textFill>
        </w:rPr>
      </w:pPr>
    </w:p>
    <w:p>
      <w:pPr>
        <w:widowControl/>
        <w:jc w:val="center"/>
        <w:rPr>
          <w:rFonts w:ascii="仿宋_GB2312" w:hAnsi="仿宋_GB2312" w:eastAsia="仿宋_GB2312" w:cs="仿宋_GB2312"/>
          <w:color w:val="000000" w:themeColor="text1"/>
          <w:kern w:val="0"/>
          <w:sz w:val="32"/>
          <w:szCs w:val="32"/>
          <w:highlight w:val="none"/>
          <w:u w:val="none"/>
          <w14:textFill>
            <w14:solidFill>
              <w14:schemeClr w14:val="tx1"/>
            </w14:solidFill>
          </w14:textFill>
        </w:rPr>
      </w:pPr>
    </w:p>
    <w:p>
      <w:pPr>
        <w:pStyle w:val="2"/>
        <w:spacing w:line="240" w:lineRule="auto"/>
        <w:jc w:val="center"/>
        <w:rPr>
          <w:rFonts w:ascii="黑体" w:hAnsi="黑体" w:eastAsia="黑体"/>
          <w:sz w:val="32"/>
          <w:szCs w:val="32"/>
          <w:highlight w:val="none"/>
          <w:u w:val="none"/>
        </w:rPr>
      </w:pPr>
      <w:r>
        <w:rPr>
          <w:rFonts w:hint="eastAsia" w:ascii="黑体" w:hAnsi="黑体" w:eastAsia="黑体"/>
          <w:sz w:val="32"/>
          <w:szCs w:val="32"/>
          <w:highlight w:val="none"/>
          <w:u w:val="none"/>
        </w:rPr>
        <w:t>第一章 总则</w:t>
      </w:r>
    </w:p>
    <w:p>
      <w:pPr>
        <w:widowControl/>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pPr>
      <w:r>
        <w:rPr>
          <w:rFonts w:hint="eastAsia" w:ascii="仿宋_GB2312" w:hAnsi="仿宋_GB2312" w:eastAsia="仿宋_GB2312" w:cs="仿宋_GB2312"/>
          <w:b/>
          <w:color w:val="000000" w:themeColor="text1"/>
          <w:kern w:val="0"/>
          <w:sz w:val="32"/>
          <w:szCs w:val="32"/>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 xml:space="preserve">  </w:t>
      </w:r>
      <w:r>
        <w:rPr>
          <w:rFonts w:hint="eastAsia" w:ascii="黑体" w:hAnsi="黑体" w:eastAsia="黑体" w:cs="黑体"/>
          <w:bCs/>
          <w:color w:val="000000" w:themeColor="text1"/>
          <w:kern w:val="0"/>
          <w:sz w:val="32"/>
          <w:szCs w:val="32"/>
          <w:highlight w:val="none"/>
          <w:u w:val="none"/>
          <w14:textFill>
            <w14:solidFill>
              <w14:schemeClr w14:val="tx1"/>
            </w14:solidFill>
          </w14:textFill>
        </w:rPr>
        <w:t xml:space="preserve">第一条 </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为把握“双区”驱动、“双区”叠加发展机遇，全面推进“数字龙华、都市核心”建设，</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促进集成电路产业发展</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结合我区实际，</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制定本措施。</w:t>
      </w:r>
    </w:p>
    <w:p>
      <w:pPr>
        <w:widowControl/>
        <w:ind w:firstLine="640" w:firstLineChars="200"/>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pPr>
      <w:r>
        <w:rPr>
          <w:rFonts w:hint="eastAsia" w:ascii="黑体" w:hAnsi="黑体" w:eastAsia="黑体" w:cs="黑体"/>
          <w:bCs/>
          <w:color w:val="000000" w:themeColor="text1"/>
          <w:kern w:val="0"/>
          <w:sz w:val="32"/>
          <w:szCs w:val="32"/>
          <w:highlight w:val="none"/>
          <w:u w:val="none"/>
          <w14:textFill>
            <w14:solidFill>
              <w14:schemeClr w14:val="tx1"/>
            </w14:solidFill>
          </w14:textFill>
        </w:rPr>
        <w:t xml:space="preserve">第二条 </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本措施按照公开、公平、公正原则，实行总量控制、自愿申报、政府决策、社会公示，在每年区科技创新专项资金总预算内对各类项目实施资助。</w:t>
      </w:r>
    </w:p>
    <w:p>
      <w:pPr>
        <w:widowControl/>
        <w:ind w:firstLine="640" w:firstLineChars="200"/>
        <w:rPr>
          <w:highlight w:val="none"/>
          <w:u w:val="none"/>
        </w:rPr>
      </w:pPr>
      <w:r>
        <w:rPr>
          <w:rFonts w:hint="eastAsia" w:ascii="黑体" w:hAnsi="黑体" w:eastAsia="黑体" w:cs="黑体"/>
          <w:bCs/>
          <w:color w:val="000000" w:themeColor="text1"/>
          <w:kern w:val="0"/>
          <w:sz w:val="32"/>
          <w:szCs w:val="32"/>
          <w:highlight w:val="none"/>
          <w:u w:val="none"/>
          <w14:textFill>
            <w14:solidFill>
              <w14:schemeClr w14:val="tx1"/>
            </w14:solidFill>
          </w14:textFill>
        </w:rPr>
        <w:t xml:space="preserve">第三条 </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本措施扶持对象为注册登记、实际经营地、税务关系、统计关系</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均</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在龙华区</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集成电路领域</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独立法人</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本措施第九条明确的基金管理公司不受此限制</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w:t>
      </w:r>
    </w:p>
    <w:p>
      <w:pPr>
        <w:widowControl/>
        <w:adjustRightInd w:val="0"/>
        <w:ind w:left="640"/>
        <w:jc w:val="center"/>
        <w:rPr>
          <w:rFonts w:ascii="黑体" w:hAnsi="黑体" w:eastAsia="黑体" w:cs="宋体"/>
          <w:color w:val="000000"/>
          <w:sz w:val="32"/>
          <w:szCs w:val="32"/>
          <w:highlight w:val="none"/>
          <w:u w:val="none"/>
        </w:rPr>
      </w:pPr>
      <w:r>
        <w:rPr>
          <w:rFonts w:hint="eastAsia" w:ascii="黑体" w:hAnsi="黑体" w:eastAsia="黑体" w:cs="宋体"/>
          <w:color w:val="000000"/>
          <w:sz w:val="32"/>
          <w:szCs w:val="32"/>
          <w:highlight w:val="none"/>
          <w:u w:val="none"/>
        </w:rPr>
        <w:t>第二章</w:t>
      </w:r>
      <w:r>
        <w:rPr>
          <w:rFonts w:ascii="黑体" w:hAnsi="黑体" w:eastAsia="黑体" w:cs="宋体"/>
          <w:color w:val="000000"/>
          <w:sz w:val="32"/>
          <w:szCs w:val="32"/>
          <w:highlight w:val="none"/>
          <w:u w:val="none"/>
        </w:rPr>
        <w:t xml:space="preserve"> </w:t>
      </w:r>
      <w:r>
        <w:rPr>
          <w:rFonts w:hint="eastAsia" w:ascii="黑体" w:hAnsi="黑体" w:eastAsia="黑体" w:cs="宋体"/>
          <w:color w:val="000000"/>
          <w:sz w:val="32"/>
          <w:szCs w:val="32"/>
          <w:highlight w:val="none"/>
          <w:u w:val="none"/>
        </w:rPr>
        <w:t>支持措施</w:t>
      </w:r>
    </w:p>
    <w:p>
      <w:pPr>
        <w:widowControl/>
        <w:numPr>
          <w:ilvl w:val="0"/>
          <w:numId w:val="0"/>
        </w:numPr>
        <w:ind w:firstLine="640" w:firstLineChars="200"/>
        <w:rPr>
          <w:rFonts w:ascii="黑体" w:hAnsi="黑体" w:eastAsia="黑体" w:cs="黑体"/>
          <w:bCs/>
          <w:color w:val="000000" w:themeColor="text1"/>
          <w:kern w:val="0"/>
          <w:sz w:val="32"/>
          <w:szCs w:val="32"/>
          <w:highlight w:val="none"/>
          <w:u w:val="none"/>
          <w14:textFill>
            <w14:solidFill>
              <w14:schemeClr w14:val="tx1"/>
            </w14:solidFill>
          </w14:textFill>
        </w:rPr>
      </w:pPr>
      <w:r>
        <w:rPr>
          <w:rFonts w:hint="eastAsia" w:ascii="黑体" w:hAnsi="黑体" w:eastAsia="黑体" w:cs="黑体"/>
          <w:bCs/>
          <w:color w:val="000000" w:themeColor="text1"/>
          <w:kern w:val="0"/>
          <w:sz w:val="32"/>
          <w:szCs w:val="32"/>
          <w:highlight w:val="none"/>
          <w:u w:val="none"/>
          <w:lang w:val="en-US" w:eastAsia="zh-CN"/>
          <w14:textFill>
            <w14:solidFill>
              <w14:schemeClr w14:val="tx1"/>
            </w14:solidFill>
          </w14:textFill>
        </w:rPr>
        <w:t xml:space="preserve">第四条  </w:t>
      </w:r>
      <w:r>
        <w:rPr>
          <w:rFonts w:hint="eastAsia" w:ascii="黑体" w:hAnsi="黑体" w:eastAsia="黑体" w:cs="黑体"/>
          <w:bCs/>
          <w:color w:val="000000" w:themeColor="text1"/>
          <w:kern w:val="0"/>
          <w:sz w:val="32"/>
          <w:szCs w:val="32"/>
          <w:highlight w:val="none"/>
          <w:u w:val="none"/>
          <w14:textFill>
            <w14:solidFill>
              <w14:schemeClr w14:val="tx1"/>
            </w14:solidFill>
          </w14:textFill>
        </w:rPr>
        <w:t>支持集成电路新技术新产品研发</w:t>
      </w:r>
    </w:p>
    <w:p>
      <w:pPr>
        <w:widowControl/>
        <w:ind w:firstLine="640" w:firstLineChars="200"/>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none"/>
          <w:u w:val="none"/>
          <w:lang w:eastAsia="zh-CN"/>
          <w14:textFill>
            <w14:solidFill>
              <w14:schemeClr w14:val="tx1"/>
            </w14:solidFill>
          </w14:textFill>
        </w:rPr>
        <w:t>（一）</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对</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上年度</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获得深圳市集成电路设计企业流片支持的，</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给予</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深圳市资助</w:t>
      </w:r>
      <w:r>
        <w:rPr>
          <w:rFonts w:hint="eastAsia" w:ascii="仿宋_GB2312" w:hAnsi="仿宋_GB2312" w:eastAsia="仿宋_GB2312" w:cs="仿宋_GB2312"/>
          <w:bCs/>
          <w:color w:val="000000" w:themeColor="text1"/>
          <w:kern w:val="0"/>
          <w:sz w:val="32"/>
          <w:szCs w:val="32"/>
          <w:highlight w:val="none"/>
          <w:u w:val="none"/>
          <w:lang w:eastAsia="zh-CN"/>
          <w14:textFill>
            <w14:solidFill>
              <w14:schemeClr w14:val="tx1"/>
            </w14:solidFill>
          </w14:textFill>
        </w:rPr>
        <w:t>金额</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最高30</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不超过</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2</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50万元资助。</w:t>
      </w:r>
    </w:p>
    <w:p>
      <w:pPr>
        <w:widowControl/>
        <w:ind w:firstLine="640" w:firstLineChars="200"/>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二</w:t>
      </w:r>
      <w:r>
        <w:rPr>
          <w:rFonts w:hint="eastAsia" w:ascii="仿宋_GB2312" w:hAnsi="仿宋_GB2312" w:eastAsia="仿宋_GB2312" w:cs="仿宋_GB2312"/>
          <w:bCs/>
          <w:color w:val="000000" w:themeColor="text1"/>
          <w:ker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对</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上年度获得深圳市</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集成电路设计企业购买</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EDA</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设计工具</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软件支持的，给予深圳市资助金额最高50%、不超过150万元资助。</w:t>
      </w:r>
    </w:p>
    <w:p>
      <w:pPr>
        <w:widowControl/>
        <w:ind w:firstLine="640" w:firstLineChars="200"/>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三）</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对</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上年度</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获得深圳市集成电路EDA设计工具研发支持的，</w:t>
      </w:r>
      <w:r>
        <w:rPr>
          <w:rFonts w:hint="eastAsia" w:ascii="仿宋_GB2312" w:hAnsi="仿宋_GB2312" w:eastAsia="仿宋_GB2312" w:cs="仿宋_GB2312"/>
          <w:bCs/>
          <w:color w:val="000000" w:themeColor="text1"/>
          <w:kern w:val="0"/>
          <w:sz w:val="32"/>
          <w:szCs w:val="32"/>
          <w:highlight w:val="none"/>
          <w:u w:val="none"/>
          <w:lang w:eastAsia="zh-CN"/>
          <w14:textFill>
            <w14:solidFill>
              <w14:schemeClr w14:val="tx1"/>
            </w14:solidFill>
          </w14:textFill>
        </w:rPr>
        <w:t>给予</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深圳市资助</w:t>
      </w:r>
      <w:r>
        <w:rPr>
          <w:rFonts w:hint="eastAsia" w:ascii="仿宋_GB2312" w:hAnsi="仿宋_GB2312" w:eastAsia="仿宋_GB2312" w:cs="仿宋_GB2312"/>
          <w:bCs/>
          <w:color w:val="000000" w:themeColor="text1"/>
          <w:kern w:val="0"/>
          <w:sz w:val="32"/>
          <w:szCs w:val="32"/>
          <w:highlight w:val="none"/>
          <w:u w:val="none"/>
          <w:lang w:eastAsia="zh-CN"/>
          <w14:textFill>
            <w14:solidFill>
              <w14:schemeClr w14:val="tx1"/>
            </w14:solidFill>
          </w14:textFill>
        </w:rPr>
        <w:t>金额</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最高</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50%</w:t>
      </w:r>
      <w:r>
        <w:rPr>
          <w:rFonts w:hint="eastAsia" w:ascii="仿宋_GB2312" w:hAnsi="仿宋_GB2312" w:eastAsia="仿宋_GB2312" w:cs="仿宋_GB2312"/>
          <w:bCs/>
          <w:color w:val="000000" w:themeColor="text1"/>
          <w:ker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不超过</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500</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万元资助。</w:t>
      </w:r>
    </w:p>
    <w:p>
      <w:pPr>
        <w:pStyle w:val="2"/>
        <w:ind w:firstLine="640" w:firstLineChars="200"/>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四）</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对</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上年度</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获得深圳市集成电路设计企业购买IP支持的，</w:t>
      </w:r>
      <w:r>
        <w:rPr>
          <w:rFonts w:hint="eastAsia" w:ascii="仿宋_GB2312" w:hAnsi="仿宋_GB2312" w:eastAsia="仿宋_GB2312" w:cs="仿宋_GB2312"/>
          <w:bCs/>
          <w:color w:val="000000" w:themeColor="text1"/>
          <w:kern w:val="0"/>
          <w:sz w:val="32"/>
          <w:szCs w:val="32"/>
          <w:highlight w:val="none"/>
          <w:u w:val="none"/>
          <w:lang w:eastAsia="zh-CN"/>
          <w14:textFill>
            <w14:solidFill>
              <w14:schemeClr w14:val="tx1"/>
            </w14:solidFill>
          </w14:textFill>
        </w:rPr>
        <w:t>给予</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深圳市资助</w:t>
      </w:r>
      <w:r>
        <w:rPr>
          <w:rFonts w:hint="eastAsia" w:ascii="仿宋_GB2312" w:hAnsi="仿宋_GB2312" w:eastAsia="仿宋_GB2312" w:cs="仿宋_GB2312"/>
          <w:bCs/>
          <w:color w:val="000000" w:themeColor="text1"/>
          <w:kern w:val="0"/>
          <w:sz w:val="32"/>
          <w:szCs w:val="32"/>
          <w:highlight w:val="none"/>
          <w:u w:val="none"/>
          <w:lang w:eastAsia="zh-CN"/>
          <w14:textFill>
            <w14:solidFill>
              <w14:schemeClr w14:val="tx1"/>
            </w14:solidFill>
          </w14:textFill>
        </w:rPr>
        <w:t>金额</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最高</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50%</w:t>
      </w:r>
      <w:r>
        <w:rPr>
          <w:rFonts w:hint="eastAsia" w:ascii="仿宋_GB2312" w:hAnsi="仿宋_GB2312" w:eastAsia="仿宋_GB2312" w:cs="仿宋_GB2312"/>
          <w:bCs/>
          <w:color w:val="000000" w:themeColor="text1"/>
          <w:ker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不超过</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250</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万元资助。</w:t>
      </w:r>
    </w:p>
    <w:p>
      <w:pPr>
        <w:widowControl/>
        <w:ind w:firstLine="640" w:firstLineChars="200"/>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本条款按照年度资金预算予以总额控制。</w:t>
      </w:r>
    </w:p>
    <w:p>
      <w:pPr>
        <w:widowControl/>
        <w:numPr>
          <w:ilvl w:val="0"/>
          <w:numId w:val="0"/>
        </w:numPr>
        <w:ind w:firstLine="640" w:firstLineChars="200"/>
        <w:rPr>
          <w:rFonts w:ascii="黑体" w:hAnsi="黑体" w:eastAsia="黑体" w:cs="黑体"/>
          <w:bCs/>
          <w:color w:val="000000" w:themeColor="text1"/>
          <w:kern w:val="0"/>
          <w:sz w:val="32"/>
          <w:szCs w:val="32"/>
          <w:highlight w:val="none"/>
          <w:u w:val="none"/>
          <w14:textFill>
            <w14:solidFill>
              <w14:schemeClr w14:val="tx1"/>
            </w14:solidFill>
          </w14:textFill>
        </w:rPr>
      </w:pPr>
      <w:r>
        <w:rPr>
          <w:rFonts w:hint="eastAsia" w:ascii="黑体" w:hAnsi="黑体" w:eastAsia="黑体" w:cs="黑体"/>
          <w:bCs/>
          <w:color w:val="000000" w:themeColor="text1"/>
          <w:kern w:val="0"/>
          <w:sz w:val="32"/>
          <w:szCs w:val="32"/>
          <w:highlight w:val="none"/>
          <w:u w:val="none"/>
          <w:lang w:val="en-US" w:eastAsia="zh-CN"/>
          <w14:textFill>
            <w14:solidFill>
              <w14:schemeClr w14:val="tx1"/>
            </w14:solidFill>
          </w14:textFill>
        </w:rPr>
        <w:t xml:space="preserve">第五条 </w:t>
      </w:r>
      <w:r>
        <w:rPr>
          <w:rFonts w:hint="eastAsia" w:ascii="黑体" w:hAnsi="黑体" w:eastAsia="黑体" w:cs="黑体"/>
          <w:bCs/>
          <w:color w:val="000000" w:themeColor="text1"/>
          <w:kern w:val="0"/>
          <w:sz w:val="32"/>
          <w:szCs w:val="32"/>
          <w:highlight w:val="none"/>
          <w:u w:val="none"/>
          <w14:textFill>
            <w14:solidFill>
              <w14:schemeClr w14:val="tx1"/>
            </w14:solidFill>
          </w14:textFill>
        </w:rPr>
        <w:t>支持集成电路技术取得重大突破</w:t>
      </w:r>
    </w:p>
    <w:p>
      <w:pPr>
        <w:widowControl/>
        <w:numPr>
          <w:ilvl w:val="0"/>
          <w:numId w:val="0"/>
        </w:numPr>
        <w:ind w:firstLine="640" w:firstLineChars="200"/>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对获得国家、</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广东</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省、</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深圳</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市</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产业</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主管部门面向全球招标悬赏、承担并完成核心技术突破任务的单位，给予</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上级资助金额</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50%、</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不超过</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500万元</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配套资助。</w:t>
      </w:r>
    </w:p>
    <w:p>
      <w:pPr>
        <w:widowControl/>
        <w:numPr>
          <w:ilvl w:val="0"/>
          <w:numId w:val="0"/>
        </w:numPr>
        <w:ind w:firstLine="640" w:firstLineChars="200"/>
        <w:rPr>
          <w:rFonts w:ascii="黑体" w:hAnsi="黑体" w:eastAsia="黑体" w:cs="黑体"/>
          <w:bCs/>
          <w:color w:val="000000" w:themeColor="text1"/>
          <w:kern w:val="0"/>
          <w:sz w:val="32"/>
          <w:szCs w:val="32"/>
          <w:highlight w:val="none"/>
          <w:u w:val="none"/>
          <w14:textFill>
            <w14:solidFill>
              <w14:schemeClr w14:val="tx1"/>
            </w14:solidFill>
          </w14:textFill>
        </w:rPr>
      </w:pPr>
      <w:r>
        <w:rPr>
          <w:rFonts w:hint="eastAsia" w:ascii="黑体" w:hAnsi="黑体" w:eastAsia="黑体" w:cs="黑体"/>
          <w:bCs/>
          <w:color w:val="000000" w:themeColor="text1"/>
          <w:kern w:val="0"/>
          <w:sz w:val="32"/>
          <w:szCs w:val="32"/>
          <w:highlight w:val="none"/>
          <w:u w:val="none"/>
          <w:lang w:val="en-US" w:eastAsia="zh-CN"/>
          <w14:textFill>
            <w14:solidFill>
              <w14:schemeClr w14:val="tx1"/>
            </w14:solidFill>
          </w14:textFill>
        </w:rPr>
        <w:t xml:space="preserve">第六条 </w:t>
      </w:r>
      <w:r>
        <w:rPr>
          <w:rFonts w:hint="eastAsia" w:ascii="黑体" w:hAnsi="黑体" w:eastAsia="黑体" w:cs="黑体"/>
          <w:bCs/>
          <w:color w:val="000000" w:themeColor="text1"/>
          <w:kern w:val="0"/>
          <w:sz w:val="32"/>
          <w:szCs w:val="32"/>
          <w:highlight w:val="none"/>
          <w:u w:val="none"/>
          <w14:textFill>
            <w14:solidFill>
              <w14:schemeClr w14:val="tx1"/>
            </w14:solidFill>
          </w14:textFill>
        </w:rPr>
        <w:t>支持公共服务平台建设</w:t>
      </w:r>
    </w:p>
    <w:p>
      <w:pPr>
        <w:widowControl/>
        <w:ind w:firstLine="640" w:firstLineChars="200"/>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对符合条件的促进集成电路产业发展的公共服务平台，经</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评审</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通过，给予</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平台实际建设投入</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的30%</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、不超过</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2000万元资助。</w:t>
      </w:r>
    </w:p>
    <w:p>
      <w:pPr>
        <w:widowControl/>
        <w:ind w:firstLine="640" w:firstLineChars="200"/>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每年</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资助</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的集成电路</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公共服务平台</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不超过</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2家</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w:t>
      </w:r>
    </w:p>
    <w:p>
      <w:pPr>
        <w:widowControl/>
        <w:ind w:firstLine="640" w:firstLineChars="200"/>
        <w:rPr>
          <w:rFonts w:hint="eastAsia" w:ascii="黑体" w:hAnsi="黑体" w:eastAsia="黑体" w:cs="黑体"/>
          <w:bCs/>
          <w:color w:val="000000" w:themeColor="text1"/>
          <w:kern w:val="0"/>
          <w:sz w:val="32"/>
          <w:szCs w:val="32"/>
          <w:highlight w:val="none"/>
          <w:u w:val="none"/>
          <w:lang w:eastAsia="zh-CN"/>
          <w14:textFill>
            <w14:solidFill>
              <w14:schemeClr w14:val="tx1"/>
            </w14:solidFill>
          </w14:textFill>
        </w:rPr>
      </w:pPr>
      <w:r>
        <w:rPr>
          <w:rFonts w:hint="eastAsia" w:ascii="黑体" w:hAnsi="黑体" w:eastAsia="黑体" w:cs="黑体"/>
          <w:bCs/>
          <w:color w:val="000000" w:themeColor="text1"/>
          <w:kern w:val="0"/>
          <w:sz w:val="32"/>
          <w:szCs w:val="32"/>
          <w:highlight w:val="none"/>
          <w:u w:val="none"/>
          <w14:textFill>
            <w14:solidFill>
              <w14:schemeClr w14:val="tx1"/>
            </w14:solidFill>
          </w14:textFill>
        </w:rPr>
        <w:t>第</w:t>
      </w:r>
      <w:r>
        <w:rPr>
          <w:rFonts w:hint="eastAsia" w:ascii="黑体" w:hAnsi="黑体" w:eastAsia="黑体" w:cs="黑体"/>
          <w:bCs/>
          <w:color w:val="000000" w:themeColor="text1"/>
          <w:kern w:val="0"/>
          <w:sz w:val="32"/>
          <w:szCs w:val="32"/>
          <w:highlight w:val="none"/>
          <w:u w:val="none"/>
          <w:lang w:val="en-US" w:eastAsia="zh-CN"/>
          <w14:textFill>
            <w14:solidFill>
              <w14:schemeClr w14:val="tx1"/>
            </w14:solidFill>
          </w14:textFill>
        </w:rPr>
        <w:t>七</w:t>
      </w:r>
      <w:r>
        <w:rPr>
          <w:rFonts w:hint="eastAsia" w:ascii="黑体" w:hAnsi="黑体" w:eastAsia="黑体" w:cs="黑体"/>
          <w:bCs/>
          <w:color w:val="000000" w:themeColor="text1"/>
          <w:kern w:val="0"/>
          <w:sz w:val="32"/>
          <w:szCs w:val="32"/>
          <w:highlight w:val="none"/>
          <w:u w:val="none"/>
          <w14:textFill>
            <w14:solidFill>
              <w14:schemeClr w14:val="tx1"/>
            </w14:solidFill>
          </w14:textFill>
        </w:rPr>
        <w:t xml:space="preserve">条 </w:t>
      </w:r>
      <w:r>
        <w:rPr>
          <w:rFonts w:hint="eastAsia" w:ascii="黑体" w:hAnsi="黑体" w:eastAsia="黑体" w:cs="黑体"/>
          <w:bCs/>
          <w:color w:val="000000" w:themeColor="text1"/>
          <w:kern w:val="0"/>
          <w:sz w:val="32"/>
          <w:szCs w:val="32"/>
          <w:highlight w:val="none"/>
          <w:u w:val="none"/>
          <w:lang w:eastAsia="zh-CN"/>
          <w14:textFill>
            <w14:solidFill>
              <w14:schemeClr w14:val="tx1"/>
            </w14:solidFill>
          </w14:textFill>
        </w:rPr>
        <w:t>支持</w:t>
      </w:r>
      <w:r>
        <w:rPr>
          <w:rFonts w:hint="eastAsia" w:ascii="黑体" w:hAnsi="黑体" w:eastAsia="黑体" w:cs="黑体"/>
          <w:bCs/>
          <w:color w:val="000000" w:themeColor="text1"/>
          <w:kern w:val="0"/>
          <w:sz w:val="32"/>
          <w:szCs w:val="32"/>
          <w:highlight w:val="none"/>
          <w:u w:val="none"/>
          <w14:textFill>
            <w14:solidFill>
              <w14:schemeClr w14:val="tx1"/>
            </w14:solidFill>
          </w14:textFill>
        </w:rPr>
        <w:t>建设</w:t>
      </w:r>
      <w:r>
        <w:rPr>
          <w:rFonts w:hint="eastAsia" w:ascii="黑体" w:hAnsi="黑体" w:eastAsia="黑体" w:cs="黑体"/>
          <w:bCs/>
          <w:color w:val="000000" w:themeColor="text1"/>
          <w:kern w:val="0"/>
          <w:sz w:val="32"/>
          <w:szCs w:val="32"/>
          <w:highlight w:val="none"/>
          <w:u w:val="none"/>
          <w:lang w:eastAsia="zh-CN"/>
          <w14:textFill>
            <w14:solidFill>
              <w14:schemeClr w14:val="tx1"/>
            </w14:solidFill>
          </w14:textFill>
        </w:rPr>
        <w:t>集成电路专业</w:t>
      </w:r>
      <w:r>
        <w:rPr>
          <w:rFonts w:hint="eastAsia" w:ascii="黑体" w:hAnsi="黑体" w:eastAsia="黑体" w:cs="黑体"/>
          <w:bCs/>
          <w:color w:val="000000" w:themeColor="text1"/>
          <w:kern w:val="0"/>
          <w:sz w:val="32"/>
          <w:szCs w:val="32"/>
          <w:highlight w:val="none"/>
          <w:u w:val="none"/>
          <w14:textFill>
            <w14:solidFill>
              <w14:schemeClr w14:val="tx1"/>
            </w14:solidFill>
          </w14:textFill>
        </w:rPr>
        <w:t>孵化器</w:t>
      </w:r>
    </w:p>
    <w:p>
      <w:pPr>
        <w:widowControl/>
        <w:ind w:firstLine="640" w:firstLineChars="200"/>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经评审</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认定为龙华区</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集成电路专业</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孵化器的（基本条件除达到区级孵化器要求外，还需满足“入驻集成电路企业</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数量</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占在孵企业比重达70%及以上”），连续</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每年经审计后</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给予孵化器运营机构上年度提供专业技术服务以及投融资</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服务</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、知识产权、法律、创业辅导等孵化服务所产生费用50%、不超过100万元</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奖励</w:t>
      </w:r>
      <w:r>
        <w:rPr>
          <w:rFonts w:hint="eastAsia" w:ascii="仿宋_GB2312" w:hAnsi="仿宋_GB2312" w:eastAsia="仿宋_GB2312" w:cs="仿宋_GB2312"/>
          <w:strike w:val="0"/>
          <w:dstrike w:val="0"/>
          <w:color w:val="000000" w:themeColor="text1"/>
          <w:kern w:val="0"/>
          <w:sz w:val="32"/>
          <w:szCs w:val="32"/>
          <w:highlight w:val="none"/>
          <w:u w:val="none"/>
          <w:lang w:val="en-US" w:eastAsia="zh-CN"/>
          <w14:textFill>
            <w14:solidFill>
              <w14:schemeClr w14:val="tx1"/>
            </w14:solidFill>
          </w14:textFill>
        </w:rPr>
        <w:t>（需年度考核通过）</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。对入驻龙华区集成电路专业孵化器的</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集成电路企业</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给予</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最高</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30元/平方米/月、每年最高20万元</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房租</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资助</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每家企业</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最长</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资助</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年。</w:t>
      </w:r>
    </w:p>
    <w:p>
      <w:pPr>
        <w:widowControl/>
        <w:ind w:firstLine="640" w:firstLineChars="200"/>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每年</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认定的集成电路专业</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孵化器</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不超过</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3家</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w:t>
      </w:r>
    </w:p>
    <w:p>
      <w:pPr>
        <w:widowControl/>
        <w:numPr>
          <w:ilvl w:val="0"/>
          <w:numId w:val="0"/>
        </w:numPr>
        <w:ind w:firstLine="640" w:firstLineChars="200"/>
        <w:rPr>
          <w:rFonts w:ascii="黑体" w:hAnsi="黑体" w:eastAsia="黑体" w:cs="黑体"/>
          <w:bCs/>
          <w:color w:val="000000" w:themeColor="text1"/>
          <w:kern w:val="0"/>
          <w:sz w:val="32"/>
          <w:szCs w:val="32"/>
          <w:highlight w:val="none"/>
          <w:u w:val="none"/>
          <w14:textFill>
            <w14:solidFill>
              <w14:schemeClr w14:val="tx1"/>
            </w14:solidFill>
          </w14:textFill>
        </w:rPr>
      </w:pPr>
      <w:r>
        <w:rPr>
          <w:rFonts w:hint="eastAsia" w:ascii="黑体" w:hAnsi="黑体" w:eastAsia="黑体" w:cs="黑体"/>
          <w:bCs/>
          <w:color w:val="000000" w:themeColor="text1"/>
          <w:kern w:val="0"/>
          <w:sz w:val="32"/>
          <w:szCs w:val="32"/>
          <w:highlight w:val="none"/>
          <w:u w:val="none"/>
          <w:lang w:val="en-US" w:eastAsia="zh-CN"/>
          <w14:textFill>
            <w14:solidFill>
              <w14:schemeClr w14:val="tx1"/>
            </w14:solidFill>
          </w14:textFill>
        </w:rPr>
        <w:t xml:space="preserve">第八条 </w:t>
      </w:r>
      <w:r>
        <w:rPr>
          <w:rFonts w:hint="eastAsia" w:ascii="黑体" w:hAnsi="黑体" w:eastAsia="黑体" w:cs="黑体"/>
          <w:bCs/>
          <w:color w:val="000000" w:themeColor="text1"/>
          <w:kern w:val="0"/>
          <w:sz w:val="32"/>
          <w:szCs w:val="32"/>
          <w:highlight w:val="none"/>
          <w:u w:val="none"/>
          <w14:textFill>
            <w14:solidFill>
              <w14:schemeClr w14:val="tx1"/>
            </w14:solidFill>
          </w14:textFill>
        </w:rPr>
        <w:t>鼓励集成电路推广应用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鼓励下游集成电路芯片应用企业和芯片研发企业、重大集成电路生产企业和集成电路材料、装备企业联合进行国产替代攻关</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对上年度获得深圳市集成电路推广应用项目支持、深圳市支持下游应用企业联合进行国产替代攻关项目支持的，给予深圳市资助费用最高50%的一次性奖励，企业年度奖励总额不超过250万元。</w:t>
      </w:r>
    </w:p>
    <w:p>
      <w:pPr>
        <w:widowControl/>
        <w:numPr>
          <w:ilvl w:val="0"/>
          <w:numId w:val="0"/>
        </w:numPr>
        <w:ind w:firstLine="640" w:firstLineChars="200"/>
        <w:rPr>
          <w:rFonts w:hint="eastAsia" w:ascii="黑体" w:hAnsi="黑体" w:eastAsia="黑体" w:cs="黑体"/>
          <w:bCs/>
          <w:color w:val="000000" w:themeColor="text1"/>
          <w:kern w:val="0"/>
          <w:sz w:val="32"/>
          <w:szCs w:val="32"/>
          <w:highlight w:val="none"/>
          <w:u w:val="none"/>
          <w:lang w:val="en-US" w:eastAsia="zh-CN"/>
          <w14:textFill>
            <w14:solidFill>
              <w14:schemeClr w14:val="tx1"/>
            </w14:solidFill>
          </w14:textFill>
        </w:rPr>
      </w:pPr>
      <w:r>
        <w:rPr>
          <w:rFonts w:hint="eastAsia" w:ascii="黑体" w:hAnsi="黑体" w:eastAsia="黑体" w:cs="黑体"/>
          <w:bCs/>
          <w:color w:val="000000" w:themeColor="text1"/>
          <w:kern w:val="0"/>
          <w:sz w:val="32"/>
          <w:szCs w:val="32"/>
          <w:highlight w:val="none"/>
          <w:u w:val="none"/>
          <w:lang w:val="en-US" w:eastAsia="zh-CN"/>
          <w14:textFill>
            <w14:solidFill>
              <w14:schemeClr w14:val="tx1"/>
            </w14:solidFill>
          </w14:textFill>
        </w:rPr>
        <w:t>第九条 支持集成电路投融资项目</w:t>
      </w:r>
    </w:p>
    <w:p>
      <w:pPr>
        <w:pStyle w:val="2"/>
        <w:numPr>
          <w:ilvl w:val="0"/>
          <w:numId w:val="0"/>
        </w:numPr>
        <w:ind w:firstLine="640" w:firstLineChars="200"/>
        <w:rPr>
          <w:rFonts w:hint="eastAsia" w:ascii="仿宋_GB2312" w:hAnsi="仿宋_GB2312" w:eastAsia="仿宋_GB2312" w:cs="仿宋_GB2312"/>
          <w:color w:val="000000" w:themeColor="text1"/>
          <w:kern w:val="0"/>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lang w:val="en-US" w:eastAsia="zh-CN" w:bidi="ar-SA"/>
          <w14:textFill>
            <w14:solidFill>
              <w14:schemeClr w14:val="tx1"/>
            </w14:solidFill>
          </w14:textFill>
        </w:rPr>
        <w:t>（一）经评审，对近2年获得天使投资、风险投资、创业投资等基金投资入股、且单轮投资在1000万元以上的集成电路企业，按本轮到位资金的10%给予最高200万元的奖励，分三年按40%、30%、30%的比例兑现。获得本款奖励后再次获得融资的，不再给予奖励。</w:t>
      </w:r>
    </w:p>
    <w:p>
      <w:pPr>
        <w:pStyle w:val="2"/>
        <w:numPr>
          <w:ilvl w:val="0"/>
          <w:numId w:val="0"/>
        </w:numPr>
        <w:ind w:firstLine="640" w:firstLineChars="200"/>
        <w:rPr>
          <w:rFonts w:hint="eastAsia" w:ascii="仿宋_GB2312" w:hAnsi="仿宋_GB2312" w:eastAsia="仿宋_GB2312" w:cs="仿宋_GB2312"/>
          <w:color w:val="000000" w:themeColor="text1"/>
          <w:kern w:val="0"/>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lang w:val="en-US" w:eastAsia="zh-CN" w:bidi="ar-SA"/>
          <w14:textFill>
            <w14:solidFill>
              <w14:schemeClr w14:val="tx1"/>
            </w14:solidFill>
          </w14:textFill>
        </w:rPr>
        <w:t>（二）经评审，对新引进集成电路企业到龙华落户，且近2年内对该企业单轮投资在1000万元以上的基金管理公司，按本轮实际投资资金的2%给予最高100万元的奖励。同时有多家基金管理公司引进同一家企业时，仅对其中一家基金管理公司进行奖励。</w:t>
      </w:r>
    </w:p>
    <w:p>
      <w:pPr>
        <w:widowControl/>
        <w:numPr>
          <w:ilvl w:val="0"/>
          <w:numId w:val="0"/>
        </w:numPr>
        <w:ind w:firstLine="640" w:firstLineChars="200"/>
        <w:rPr>
          <w:rFonts w:ascii="黑体" w:hAnsi="黑体" w:eastAsia="黑体" w:cs="黑体"/>
          <w:bCs/>
          <w:color w:val="000000" w:themeColor="text1"/>
          <w:kern w:val="0"/>
          <w:sz w:val="32"/>
          <w:szCs w:val="32"/>
          <w:highlight w:val="none"/>
          <w:u w:val="none"/>
          <w14:textFill>
            <w14:solidFill>
              <w14:schemeClr w14:val="tx1"/>
            </w14:solidFill>
          </w14:textFill>
        </w:rPr>
      </w:pPr>
      <w:r>
        <w:rPr>
          <w:rFonts w:hint="eastAsia" w:ascii="黑体" w:hAnsi="黑体" w:eastAsia="黑体" w:cs="黑体"/>
          <w:bCs/>
          <w:color w:val="000000" w:themeColor="text1"/>
          <w:kern w:val="0"/>
          <w:sz w:val="32"/>
          <w:szCs w:val="32"/>
          <w:highlight w:val="none"/>
          <w:u w:val="none"/>
          <w:lang w:val="en-US" w:eastAsia="zh-CN"/>
          <w14:textFill>
            <w14:solidFill>
              <w14:schemeClr w14:val="tx1"/>
            </w14:solidFill>
          </w14:textFill>
        </w:rPr>
        <w:t xml:space="preserve">第十条 </w:t>
      </w:r>
      <w:r>
        <w:rPr>
          <w:rFonts w:hint="eastAsia" w:ascii="黑体" w:hAnsi="黑体" w:eastAsia="黑体" w:cs="黑体"/>
          <w:bCs/>
          <w:color w:val="000000" w:themeColor="text1"/>
          <w:kern w:val="0"/>
          <w:sz w:val="32"/>
          <w:szCs w:val="32"/>
          <w:highlight w:val="none"/>
          <w:u w:val="none"/>
          <w14:textFill>
            <w14:solidFill>
              <w14:schemeClr w14:val="tx1"/>
            </w14:solidFill>
          </w14:textFill>
        </w:rPr>
        <w:t>创新创业大赛奖励</w:t>
      </w:r>
    </w:p>
    <w:p>
      <w:pPr>
        <w:pStyle w:val="2"/>
        <w:adjustRightInd w:val="0"/>
        <w:ind w:firstLine="640" w:firstLineChars="200"/>
        <w:jc w:val="left"/>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对经</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认定</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通过，在龙华区举办的具有国际或全国影响力的集成电路领域创新创业大赛</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一、二、三等奖</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获奖</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项目</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，注册地位于龙华或获奖后</w:t>
      </w:r>
      <w:r>
        <w:rPr>
          <w:rFonts w:hint="eastAsia" w:ascii="仿宋_GB2312" w:hAnsi="仿宋_GB2312" w:eastAsia="仿宋_GB2312" w:cs="仿宋_GB2312"/>
          <w:color w:val="000000" w:themeColor="text1"/>
          <w:kern w:val="0"/>
          <w:sz w:val="32"/>
          <w:szCs w:val="32"/>
          <w:highlight w:val="none"/>
          <w:u w:val="none"/>
          <w:lang w:val="en-US" w:eastAsia="zh-CN" w:bidi="ar-SA"/>
          <w14:textFill>
            <w14:solidFill>
              <w14:schemeClr w14:val="tx1"/>
            </w14:solidFill>
          </w14:textFill>
        </w:rPr>
        <w:t>一年内</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落户龙华，符合龙华区产业发展导向且经评估确有</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产业化</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潜力的，分别给予50万元、40万元、30万元奖励。</w:t>
      </w:r>
    </w:p>
    <w:p>
      <w:pPr>
        <w:pStyle w:val="2"/>
        <w:adjustRightInd w:val="0"/>
        <w:ind w:firstLine="640" w:firstLineChars="200"/>
        <w:jc w:val="center"/>
        <w:rPr>
          <w:rFonts w:ascii="黑体" w:hAnsi="黑体" w:eastAsia="黑体"/>
          <w:sz w:val="32"/>
          <w:szCs w:val="32"/>
          <w:highlight w:val="none"/>
          <w:u w:val="none"/>
        </w:rPr>
      </w:pPr>
      <w:r>
        <w:rPr>
          <w:rFonts w:hint="eastAsia" w:ascii="黑体" w:hAnsi="黑体" w:eastAsia="黑体"/>
          <w:sz w:val="32"/>
          <w:szCs w:val="32"/>
          <w:highlight w:val="none"/>
          <w:u w:val="none"/>
        </w:rPr>
        <w:t>第三章</w:t>
      </w:r>
      <w:r>
        <w:rPr>
          <w:rFonts w:ascii="黑体" w:hAnsi="黑体" w:eastAsia="黑体"/>
          <w:sz w:val="32"/>
          <w:szCs w:val="32"/>
          <w:highlight w:val="none"/>
          <w:u w:val="none"/>
        </w:rPr>
        <w:t xml:space="preserve"> </w:t>
      </w:r>
      <w:r>
        <w:rPr>
          <w:rFonts w:hint="eastAsia" w:ascii="黑体" w:hAnsi="黑体" w:eastAsia="黑体"/>
          <w:sz w:val="32"/>
          <w:szCs w:val="32"/>
          <w:highlight w:val="none"/>
          <w:u w:val="none"/>
        </w:rPr>
        <w:t>附则</w:t>
      </w:r>
    </w:p>
    <w:p>
      <w:pPr>
        <w:numPr>
          <w:ilvl w:val="0"/>
          <w:numId w:val="0"/>
        </w:numPr>
        <w:ind w:firstLine="640" w:firstLineChars="200"/>
        <w:rPr>
          <w:rFonts w:hint="eastAsia" w:ascii="仿宋_GB2312" w:hAnsi="仿宋_GB2312" w:eastAsia="仿宋_GB2312"/>
          <w:sz w:val="32"/>
          <w:highlight w:val="none"/>
          <w:u w:val="none"/>
          <w:lang w:val="en-US" w:eastAsia="zh-CN"/>
        </w:rPr>
      </w:pPr>
      <w:r>
        <w:rPr>
          <w:rFonts w:hint="eastAsia" w:ascii="黑体" w:hAnsi="黑体" w:eastAsia="黑体" w:cs="黑体"/>
          <w:bCs/>
          <w:color w:val="000000" w:themeColor="text1"/>
          <w:kern w:val="0"/>
          <w:sz w:val="32"/>
          <w:szCs w:val="32"/>
          <w:highlight w:val="none"/>
          <w:u w:val="none"/>
          <w:lang w:val="en-US" w:eastAsia="zh-CN"/>
          <w14:textFill>
            <w14:solidFill>
              <w14:schemeClr w14:val="tx1"/>
            </w14:solidFill>
          </w14:textFill>
        </w:rPr>
        <w:t xml:space="preserve">第十一条  </w:t>
      </w:r>
      <w:r>
        <w:rPr>
          <w:rFonts w:hint="eastAsia" w:ascii="仿宋_GB2312" w:hAnsi="仿宋_GB2312" w:eastAsia="仿宋_GB2312"/>
          <w:sz w:val="32"/>
          <w:highlight w:val="none"/>
          <w:u w:val="none"/>
        </w:rPr>
        <w:t>本措施涉及</w:t>
      </w:r>
      <w:r>
        <w:rPr>
          <w:rFonts w:hint="eastAsia" w:ascii="仿宋_GB2312" w:hAnsi="仿宋_GB2312" w:eastAsia="仿宋_GB2312"/>
          <w:sz w:val="32"/>
          <w:highlight w:val="none"/>
          <w:u w:val="none"/>
          <w:lang w:eastAsia="zh-CN"/>
        </w:rPr>
        <w:t>资助</w:t>
      </w:r>
      <w:r>
        <w:rPr>
          <w:rFonts w:hint="eastAsia" w:ascii="仿宋_GB2312" w:hAnsi="仿宋_GB2312" w:eastAsia="仿宋_GB2312"/>
          <w:sz w:val="32"/>
          <w:highlight w:val="none"/>
          <w:u w:val="none"/>
        </w:rPr>
        <w:t>条款执行范围结合区政府工作重点确定，具体以当年发布的申请指南为准；涉及</w:t>
      </w:r>
      <w:r>
        <w:rPr>
          <w:rFonts w:hint="eastAsia" w:ascii="仿宋_GB2312" w:hAnsi="仿宋_GB2312" w:eastAsia="仿宋_GB2312"/>
          <w:sz w:val="32"/>
          <w:highlight w:val="none"/>
          <w:u w:val="none"/>
          <w:lang w:val="en-US" w:eastAsia="zh-CN"/>
        </w:rPr>
        <w:t>资助</w:t>
      </w:r>
      <w:r>
        <w:rPr>
          <w:rFonts w:hint="eastAsia" w:ascii="仿宋_GB2312" w:hAnsi="仿宋_GB2312" w:eastAsia="仿宋_GB2312"/>
          <w:sz w:val="32"/>
          <w:highlight w:val="none"/>
          <w:u w:val="none"/>
        </w:rPr>
        <w:t>比例和限额均为上限，实际</w:t>
      </w:r>
      <w:r>
        <w:rPr>
          <w:rFonts w:hint="eastAsia" w:ascii="仿宋_GB2312" w:hAnsi="仿宋_GB2312" w:eastAsia="仿宋_GB2312"/>
          <w:sz w:val="32"/>
          <w:highlight w:val="none"/>
          <w:u w:val="none"/>
          <w:lang w:val="en-US" w:eastAsia="zh-CN"/>
        </w:rPr>
        <w:t>资助</w:t>
      </w:r>
      <w:r>
        <w:rPr>
          <w:rFonts w:hint="eastAsia" w:ascii="仿宋_GB2312" w:hAnsi="仿宋_GB2312" w:eastAsia="仿宋_GB2312"/>
          <w:sz w:val="32"/>
          <w:highlight w:val="none"/>
          <w:u w:val="none"/>
        </w:rPr>
        <w:t>比例和金额受年度金额预算总量控制。</w:t>
      </w:r>
      <w:r>
        <w:rPr>
          <w:rFonts w:hint="eastAsia" w:ascii="仿宋_GB2312" w:hAnsi="仿宋_GB2312" w:eastAsia="仿宋_GB2312"/>
          <w:sz w:val="32"/>
          <w:highlight w:val="none"/>
          <w:u w:val="none"/>
          <w:lang w:val="en-US" w:eastAsia="zh-CN"/>
        </w:rPr>
        <w:t>同一主体不得因同一事由重复享受本措施规定的资金扶持政策和龙华区其他优惠或扶持政策。同一事项，适用于本措施，同时又适用于龙华区其它扶持政策时，企业可按照就高不就低的原则自主选择申报，不予重复扶持。</w:t>
      </w:r>
    </w:p>
    <w:p>
      <w:pPr>
        <w:pStyle w:val="2"/>
        <w:spacing w:line="560" w:lineRule="exact"/>
        <w:ind w:firstLine="640"/>
        <w:rPr>
          <w:rFonts w:hint="eastAsia" w:ascii="仿宋_GB2312" w:hAnsi="仿宋_GB2312" w:eastAsia="仿宋_GB2312" w:cstheme="minorBidi"/>
          <w:kern w:val="2"/>
          <w:sz w:val="32"/>
          <w:szCs w:val="22"/>
          <w:u w:val="none"/>
          <w:lang w:val="en-US" w:eastAsia="zh-CN" w:bidi="ar-SA"/>
        </w:rPr>
      </w:pPr>
      <w:r>
        <w:rPr>
          <w:rFonts w:hint="eastAsia" w:ascii="黑体" w:hAnsi="黑体" w:eastAsia="黑体" w:cs="黑体"/>
          <w:bCs/>
          <w:color w:val="000000" w:themeColor="text1"/>
          <w:kern w:val="0"/>
          <w:sz w:val="32"/>
          <w:szCs w:val="32"/>
          <w:highlight w:val="none"/>
          <w:u w:val="none"/>
          <w:lang w:val="en-US" w:eastAsia="zh-CN" w:bidi="ar-SA"/>
          <w14:textFill>
            <w14:solidFill>
              <w14:schemeClr w14:val="tx1"/>
            </w14:solidFill>
          </w14:textFill>
        </w:rPr>
        <w:t xml:space="preserve">第十二条 </w:t>
      </w:r>
      <w:r>
        <w:rPr>
          <w:rFonts w:hint="eastAsia" w:ascii="仿宋_GB2312" w:hAnsi="仿宋_GB2312" w:eastAsia="仿宋_GB2312" w:cstheme="minorBidi"/>
          <w:kern w:val="2"/>
          <w:sz w:val="32"/>
          <w:szCs w:val="22"/>
          <w:highlight w:val="none"/>
          <w:u w:val="none"/>
          <w:lang w:val="en-US" w:eastAsia="zh-CN" w:bidi="ar-SA"/>
        </w:rPr>
        <w:t>企业在获得专项资金资助</w:t>
      </w:r>
      <w:r>
        <w:rPr>
          <w:rFonts w:hint="eastAsia" w:ascii="仿宋_GB2312" w:hAnsi="仿宋_GB2312" w:eastAsia="仿宋_GB2312" w:cs="仿宋_GB2312"/>
          <w:color w:val="000000" w:themeColor="text1"/>
          <w:kern w:val="0"/>
          <w:sz w:val="32"/>
          <w:szCs w:val="32"/>
          <w:highlight w:val="none"/>
          <w:u w:val="none"/>
          <w:lang w:val="en-US" w:eastAsia="zh-CN" w:bidi="ar-SA"/>
          <w14:textFill>
            <w14:solidFill>
              <w14:schemeClr w14:val="tx1"/>
            </w14:solidFill>
          </w14:textFill>
        </w:rPr>
        <w:t>（分批资助的，按获得最后一笔专项资金资助之日起算）</w:t>
      </w:r>
      <w:r>
        <w:rPr>
          <w:rFonts w:hint="eastAsia" w:ascii="仿宋_GB2312" w:hAnsi="仿宋_GB2312" w:eastAsia="仿宋_GB2312" w:cstheme="minorBidi"/>
          <w:kern w:val="2"/>
          <w:sz w:val="32"/>
          <w:szCs w:val="22"/>
          <w:highlight w:val="none"/>
          <w:u w:val="none"/>
          <w:lang w:val="en-US" w:eastAsia="zh-CN" w:bidi="ar-SA"/>
        </w:rPr>
        <w:t>后需承诺三年内注册登记、实际经营地、税务关系、统计关系均不迁离我区</w:t>
      </w:r>
      <w:r>
        <w:rPr>
          <w:rFonts w:hint="eastAsia" w:ascii="仿宋_GB2312" w:hAnsi="仿宋_GB2312" w:eastAsia="仿宋_GB2312" w:cs="仿宋_GB2312"/>
          <w:color w:val="000000" w:themeColor="text1"/>
          <w:kern w:val="0"/>
          <w:sz w:val="32"/>
          <w:szCs w:val="32"/>
          <w:highlight w:val="none"/>
          <w:u w:val="none"/>
          <w:lang w:val="en-US" w:eastAsia="zh-CN" w:bidi="ar-SA"/>
          <w14:textFill>
            <w14:solidFill>
              <w14:schemeClr w14:val="tx1"/>
            </w14:solidFill>
          </w14:textFill>
        </w:rPr>
        <w:t>（本措施第九条明确的基金管理公司不受此限制）</w:t>
      </w:r>
      <w:r>
        <w:rPr>
          <w:rFonts w:hint="eastAsia" w:ascii="仿宋_GB2312" w:hAnsi="仿宋_GB2312" w:eastAsia="仿宋_GB2312" w:cstheme="minorBidi"/>
          <w:kern w:val="2"/>
          <w:sz w:val="32"/>
          <w:szCs w:val="22"/>
          <w:highlight w:val="none"/>
          <w:u w:val="none"/>
          <w:lang w:val="en-US" w:eastAsia="zh-CN" w:bidi="ar-SA"/>
        </w:rPr>
        <w:t>，</w:t>
      </w:r>
      <w:r>
        <w:rPr>
          <w:rFonts w:hint="eastAsia" w:ascii="仿宋_GB2312" w:hAnsi="仿宋_GB2312" w:eastAsia="仿宋_GB2312" w:cstheme="minorBidi"/>
          <w:kern w:val="2"/>
          <w:sz w:val="32"/>
          <w:szCs w:val="22"/>
          <w:u w:val="none"/>
          <w:lang w:val="en-US" w:eastAsia="zh-CN" w:bidi="ar-SA"/>
        </w:rPr>
        <w:t>并在我区保持正常生产经营，对于违反承诺的，须主动退回获得资助金额。区科技创新局将采取不定期抽查方式，对获资助企业异常情况进行排查。申请人存在弄虚作假等违法违规行为的，主管部门查实后责令其改正，并可以根据情况采取停止拨款、追回专项资金、三年内不予受理专项资金申请等措施。</w:t>
      </w:r>
    </w:p>
    <w:p>
      <w:pPr>
        <w:pStyle w:val="2"/>
        <w:spacing w:line="560" w:lineRule="exact"/>
        <w:ind w:firstLine="640"/>
        <w:rPr>
          <w:rFonts w:hint="eastAsia" w:ascii="仿宋_GB2312" w:hAnsi="仿宋_GB2312" w:eastAsia="仿宋_GB2312" w:cstheme="minorBidi"/>
          <w:kern w:val="2"/>
          <w:sz w:val="32"/>
          <w:szCs w:val="22"/>
          <w:u w:val="none"/>
          <w:lang w:val="en-US" w:eastAsia="zh-CN" w:bidi="ar-SA"/>
        </w:rPr>
      </w:pPr>
      <w:r>
        <w:rPr>
          <w:rFonts w:hint="eastAsia" w:ascii="黑体" w:hAnsi="黑体" w:eastAsia="黑体" w:cs="黑体"/>
          <w:bCs/>
          <w:color w:val="000000" w:themeColor="text1"/>
          <w:kern w:val="0"/>
          <w:sz w:val="32"/>
          <w:szCs w:val="32"/>
          <w:u w:val="none"/>
          <w:lang w:val="en-US" w:eastAsia="zh-CN" w:bidi="ar-SA"/>
          <w14:textFill>
            <w14:solidFill>
              <w14:schemeClr w14:val="tx1"/>
            </w14:solidFill>
          </w14:textFill>
        </w:rPr>
        <w:t xml:space="preserve">第十三条 </w:t>
      </w:r>
      <w:r>
        <w:rPr>
          <w:rFonts w:hint="eastAsia" w:ascii="仿宋_GB2312" w:hAnsi="仿宋_GB2312" w:eastAsia="仿宋_GB2312" w:cstheme="minorBidi"/>
          <w:kern w:val="2"/>
          <w:sz w:val="32"/>
          <w:szCs w:val="22"/>
          <w:u w:val="none"/>
          <w:lang w:val="en-US" w:eastAsia="zh-CN" w:bidi="ar-SA"/>
        </w:rPr>
        <w:t>本措施中“以上”“不超过”等表述未作具体说明的均包括本数。资助金额按万元计，不为整数时取两位小数(只舍不入）。本措施中“近2年”是指申报之日（含申报之日）前2年内。“上年度”指上一个自然年，即1月1日至12月31日。</w:t>
      </w:r>
    </w:p>
    <w:p>
      <w:pPr>
        <w:pStyle w:val="2"/>
        <w:spacing w:line="560" w:lineRule="exact"/>
        <w:ind w:firstLine="640"/>
        <w:rPr>
          <w:rFonts w:hint="eastAsia" w:ascii="仿宋_GB2312" w:hAnsi="仿宋_GB2312" w:eastAsia="仿宋_GB2312" w:cstheme="minorBidi"/>
          <w:kern w:val="2"/>
          <w:sz w:val="32"/>
          <w:szCs w:val="22"/>
          <w:u w:val="none"/>
          <w:lang w:val="en-US" w:eastAsia="zh-CN" w:bidi="ar-SA"/>
        </w:rPr>
      </w:pPr>
      <w:r>
        <w:rPr>
          <w:rFonts w:hint="eastAsia" w:ascii="黑体" w:hAnsi="黑体" w:eastAsia="黑体" w:cs="黑体"/>
          <w:bCs/>
          <w:color w:val="000000" w:themeColor="text1"/>
          <w:kern w:val="0"/>
          <w:sz w:val="32"/>
          <w:szCs w:val="32"/>
          <w:u w:val="none"/>
          <w:lang w:val="en-US" w:eastAsia="zh-CN" w:bidi="ar-SA"/>
          <w14:textFill>
            <w14:solidFill>
              <w14:schemeClr w14:val="tx1"/>
            </w14:solidFill>
          </w14:textFill>
        </w:rPr>
        <w:t xml:space="preserve">第十四条 </w:t>
      </w:r>
      <w:r>
        <w:rPr>
          <w:rFonts w:hint="eastAsia" w:ascii="仿宋_GB2312" w:hAnsi="仿宋_GB2312" w:eastAsia="仿宋_GB2312" w:cstheme="minorBidi"/>
          <w:kern w:val="2"/>
          <w:sz w:val="32"/>
          <w:szCs w:val="22"/>
          <w:u w:val="none"/>
          <w:lang w:val="en-US" w:eastAsia="zh-CN" w:bidi="ar-SA"/>
        </w:rPr>
        <w:t>本措施中提及的评审、认定、评估、审计、年度考核等均由区科技主管部门组织实施。</w:t>
      </w:r>
    </w:p>
    <w:p>
      <w:pPr>
        <w:pStyle w:val="2"/>
        <w:spacing w:line="560" w:lineRule="exact"/>
        <w:ind w:firstLine="640"/>
        <w:rPr>
          <w:rFonts w:hint="eastAsia" w:ascii="仿宋_GB2312" w:hAnsi="仿宋_GB2312" w:eastAsia="仿宋_GB2312" w:cstheme="minorBidi"/>
          <w:kern w:val="2"/>
          <w:sz w:val="32"/>
          <w:szCs w:val="22"/>
          <w:u w:val="none"/>
          <w:lang w:val="en-US" w:eastAsia="zh-CN" w:bidi="ar-SA"/>
        </w:rPr>
      </w:pPr>
      <w:r>
        <w:rPr>
          <w:rFonts w:hint="eastAsia" w:ascii="黑体" w:hAnsi="黑体" w:eastAsia="黑体" w:cs="黑体"/>
          <w:bCs/>
          <w:color w:val="000000" w:themeColor="text1"/>
          <w:kern w:val="0"/>
          <w:sz w:val="32"/>
          <w:szCs w:val="32"/>
          <w:u w:val="none"/>
          <w:lang w:val="en-US" w:eastAsia="zh-CN" w:bidi="ar-SA"/>
          <w14:textFill>
            <w14:solidFill>
              <w14:schemeClr w14:val="tx1"/>
            </w14:solidFill>
          </w14:textFill>
        </w:rPr>
        <w:t xml:space="preserve">第十五条 </w:t>
      </w:r>
      <w:r>
        <w:rPr>
          <w:rFonts w:hint="eastAsia" w:ascii="仿宋_GB2312" w:hAnsi="仿宋_GB2312" w:eastAsia="仿宋_GB2312" w:cstheme="minorBidi"/>
          <w:kern w:val="2"/>
          <w:sz w:val="32"/>
          <w:szCs w:val="22"/>
          <w:u w:val="none"/>
          <w:lang w:val="en-US" w:eastAsia="zh-CN" w:bidi="ar-SA"/>
        </w:rPr>
        <w:t>本措施自2021年10月8日起施行，有效期3年。</w:t>
      </w:r>
    </w:p>
    <w:p>
      <w:pPr>
        <w:spacing w:line="560" w:lineRule="exact"/>
        <w:ind w:firstLine="640"/>
        <w:rPr>
          <w:rFonts w:hint="eastAsia" w:ascii="仿宋_GB2312" w:hAnsi="仿宋_GB2312" w:eastAsia="仿宋_GB2312" w:cstheme="minorBidi"/>
          <w:kern w:val="2"/>
          <w:sz w:val="32"/>
          <w:szCs w:val="22"/>
          <w:u w:val="none"/>
          <w:lang w:val="en-US" w:eastAsia="zh-CN" w:bidi="ar-SA"/>
        </w:rPr>
      </w:pPr>
      <w:r>
        <w:rPr>
          <w:rFonts w:hint="eastAsia" w:ascii="黑体" w:hAnsi="黑体" w:eastAsia="黑体" w:cs="黑体"/>
          <w:bCs/>
          <w:color w:val="000000" w:themeColor="text1"/>
          <w:kern w:val="0"/>
          <w:sz w:val="32"/>
          <w:szCs w:val="32"/>
          <w:u w:val="none"/>
          <w:lang w:val="en-US" w:eastAsia="zh-CN" w:bidi="ar-SA"/>
          <w14:textFill>
            <w14:solidFill>
              <w14:schemeClr w14:val="tx1"/>
            </w14:solidFill>
          </w14:textFill>
        </w:rPr>
        <w:t xml:space="preserve">第十六条 </w:t>
      </w:r>
      <w:r>
        <w:rPr>
          <w:rFonts w:hint="eastAsia" w:ascii="仿宋_GB2312" w:hAnsi="仿宋_GB2312" w:eastAsia="仿宋_GB2312" w:cstheme="minorBidi"/>
          <w:kern w:val="2"/>
          <w:sz w:val="32"/>
          <w:szCs w:val="22"/>
          <w:u w:val="none"/>
          <w:lang w:val="en-US" w:eastAsia="zh-CN" w:bidi="ar-SA"/>
        </w:rPr>
        <w:t>本措施由龙华区科技创新局负责解释，制定与本措施相关的各项操作规程。</w:t>
      </w:r>
    </w:p>
    <w:sectPr>
      <w:headerReference r:id="rId5" w:type="default"/>
      <w:footerReference r:id="rId7" w:type="default"/>
      <w:headerReference r:id="rId6" w:type="even"/>
      <w:footerReference r:id="rId8" w:type="even"/>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posOffset>4743450</wp:posOffset>
              </wp:positionH>
              <wp:positionV relativeFrom="paragraph">
                <wp:posOffset>-142240</wp:posOffset>
              </wp:positionV>
              <wp:extent cx="518160" cy="30035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518160"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cstheme="minorEastAsia"/>
                              <w:sz w:val="20"/>
                              <w:szCs w:val="20"/>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73.5pt;margin-top:-11.2pt;height:23.65pt;width:40.8pt;mso-position-horizontal-relative:margin;z-index:251658240;mso-width-relative:page;mso-height-relative:page;" filled="f" stroked="f" coordsize="21600,21600" o:gfxdata="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894F8tkAAAAKAQAADwAAAAAAAAABACAAAAA4AAAAZHJzL2Rvd25yZXYueG1s&#10;UEsBAhQAFAAAAAgAh07iQD9bQIMaAgAAGQQAAA4AAAAAAAAAAQAgAAAAPgEAAGRycy9lMm9Eb2Mu&#10;eG1sUEsFBgAAAAAGAAYAWQEAAMoFAAAAAA==&#10;">
              <v:fill on="f" focussize="0,0"/>
              <v:stroke on="f" weight="0.5pt"/>
              <v:imagedata o:title=""/>
              <o:lock v:ext="edit" aspectratio="f"/>
              <v:textbox inset="0mm,0mm,0mm,0mm">
                <w:txbxContent>
                  <w:p>
                    <w:pPr>
                      <w:pStyle w:val="5"/>
                      <w:rPr>
                        <w:rFonts w:asciiTheme="minorEastAsia" w:hAnsiTheme="minorEastAsia" w:cstheme="minorEastAsia"/>
                        <w:sz w:val="20"/>
                        <w:szCs w:val="20"/>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-142240</wp:posOffset>
              </wp:positionV>
              <wp:extent cx="585470" cy="30099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585470" cy="300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0pt;margin-top:-11.2pt;height:23.7pt;width:46.1pt;mso-position-horizontal-relative:margin;z-index:251659264;mso-width-relative:page;mso-height-relative:page;" filled="f" stroked="f" coordsize="21600,21600" o:gfxdata="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nLq1B1AAAAAYBAAAPAAAAAAAAAAEAIAAAADgAAABkcnMvZG93bnJldi54bWxQSwEC&#10;FAAUAAAACACHTuJAFfpUqxsCAAAZBAAADgAAAAAAAAABACAAAAA5AQAAZHJzL2Uyb0RvYy54bWxQ&#10;SwUGAAAAAAYABgBZAQAAxgUAAAAA&#10;">
              <v:fill on="f" focussize="0,0"/>
              <v:stroke on="f" weight="0.5pt"/>
              <v:imagedata o:title=""/>
              <o:lock v:ext="edit" aspectratio="f"/>
              <v:textbox inset="0mm,0mm,0mm,0mm">
                <w:txbxContent>
                  <w:p>
                    <w:pPr>
                      <w:pStyle w:val="5"/>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4912"/>
      </w:tabs>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true"/>
  <w:bordersDoNotSurroundHeader w:val="true"/>
  <w:bordersDoNotSurroundFooter w:val="true"/>
  <w:documentProtection w:enforcement="0"/>
  <w:defaultTabStop w:val="420"/>
  <w:evenAndOddHeaders w:val="true"/>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38B"/>
    <w:rsid w:val="00024C0A"/>
    <w:rsid w:val="000326FA"/>
    <w:rsid w:val="00032B31"/>
    <w:rsid w:val="00041B6A"/>
    <w:rsid w:val="00060F52"/>
    <w:rsid w:val="00065DC4"/>
    <w:rsid w:val="00091DBE"/>
    <w:rsid w:val="000D3ED9"/>
    <w:rsid w:val="00103034"/>
    <w:rsid w:val="00130A9D"/>
    <w:rsid w:val="001356E1"/>
    <w:rsid w:val="001503F7"/>
    <w:rsid w:val="00172A27"/>
    <w:rsid w:val="00185754"/>
    <w:rsid w:val="00191DE1"/>
    <w:rsid w:val="001A24E5"/>
    <w:rsid w:val="001A76E3"/>
    <w:rsid w:val="001B3110"/>
    <w:rsid w:val="001C3396"/>
    <w:rsid w:val="001E17DA"/>
    <w:rsid w:val="001F2F5F"/>
    <w:rsid w:val="001F5668"/>
    <w:rsid w:val="00212873"/>
    <w:rsid w:val="00236EA3"/>
    <w:rsid w:val="00243E86"/>
    <w:rsid w:val="0024754D"/>
    <w:rsid w:val="002650AE"/>
    <w:rsid w:val="0026755E"/>
    <w:rsid w:val="00272767"/>
    <w:rsid w:val="00272AF3"/>
    <w:rsid w:val="00274309"/>
    <w:rsid w:val="002B1F86"/>
    <w:rsid w:val="002B5C9A"/>
    <w:rsid w:val="002B7A33"/>
    <w:rsid w:val="002D2EF5"/>
    <w:rsid w:val="00302CAA"/>
    <w:rsid w:val="00313AA6"/>
    <w:rsid w:val="00356FA3"/>
    <w:rsid w:val="00357D80"/>
    <w:rsid w:val="003620AA"/>
    <w:rsid w:val="0037011E"/>
    <w:rsid w:val="003A22FC"/>
    <w:rsid w:val="003A4E21"/>
    <w:rsid w:val="003C19F3"/>
    <w:rsid w:val="003C5855"/>
    <w:rsid w:val="003F2F2C"/>
    <w:rsid w:val="00424098"/>
    <w:rsid w:val="0044310C"/>
    <w:rsid w:val="0045029E"/>
    <w:rsid w:val="004626A2"/>
    <w:rsid w:val="004828B3"/>
    <w:rsid w:val="0048378E"/>
    <w:rsid w:val="004848CF"/>
    <w:rsid w:val="004B3F50"/>
    <w:rsid w:val="004D5AF6"/>
    <w:rsid w:val="004D7DB6"/>
    <w:rsid w:val="004E54D7"/>
    <w:rsid w:val="00507F3C"/>
    <w:rsid w:val="00521457"/>
    <w:rsid w:val="00561EFC"/>
    <w:rsid w:val="0056272F"/>
    <w:rsid w:val="00582C2D"/>
    <w:rsid w:val="0058330B"/>
    <w:rsid w:val="005835CE"/>
    <w:rsid w:val="005955DD"/>
    <w:rsid w:val="005D38A3"/>
    <w:rsid w:val="00607999"/>
    <w:rsid w:val="006170F7"/>
    <w:rsid w:val="00626D10"/>
    <w:rsid w:val="0063352D"/>
    <w:rsid w:val="006458F4"/>
    <w:rsid w:val="0064794C"/>
    <w:rsid w:val="00651767"/>
    <w:rsid w:val="006520A2"/>
    <w:rsid w:val="006555DB"/>
    <w:rsid w:val="0065647B"/>
    <w:rsid w:val="006702DA"/>
    <w:rsid w:val="00677B27"/>
    <w:rsid w:val="006942DE"/>
    <w:rsid w:val="006E04BB"/>
    <w:rsid w:val="006E3833"/>
    <w:rsid w:val="006F1531"/>
    <w:rsid w:val="006F6BB3"/>
    <w:rsid w:val="00705C8D"/>
    <w:rsid w:val="00714A3F"/>
    <w:rsid w:val="00741509"/>
    <w:rsid w:val="00760441"/>
    <w:rsid w:val="007620E3"/>
    <w:rsid w:val="007A328C"/>
    <w:rsid w:val="007B0951"/>
    <w:rsid w:val="007C761E"/>
    <w:rsid w:val="007F5ED0"/>
    <w:rsid w:val="00810869"/>
    <w:rsid w:val="0085349D"/>
    <w:rsid w:val="008538F0"/>
    <w:rsid w:val="00857407"/>
    <w:rsid w:val="008605D6"/>
    <w:rsid w:val="0087469B"/>
    <w:rsid w:val="0088610C"/>
    <w:rsid w:val="008A5DA6"/>
    <w:rsid w:val="008A625D"/>
    <w:rsid w:val="008E1CDF"/>
    <w:rsid w:val="00912762"/>
    <w:rsid w:val="00932FC3"/>
    <w:rsid w:val="00937CBB"/>
    <w:rsid w:val="0094703C"/>
    <w:rsid w:val="00950048"/>
    <w:rsid w:val="00963C7E"/>
    <w:rsid w:val="009840BB"/>
    <w:rsid w:val="009B65BB"/>
    <w:rsid w:val="009C02D6"/>
    <w:rsid w:val="009C5248"/>
    <w:rsid w:val="009D5261"/>
    <w:rsid w:val="00A22DA4"/>
    <w:rsid w:val="00A23F32"/>
    <w:rsid w:val="00A3064C"/>
    <w:rsid w:val="00A30AAB"/>
    <w:rsid w:val="00A42EB9"/>
    <w:rsid w:val="00A544EB"/>
    <w:rsid w:val="00A76871"/>
    <w:rsid w:val="00A9474E"/>
    <w:rsid w:val="00AA096F"/>
    <w:rsid w:val="00AB610D"/>
    <w:rsid w:val="00AD6104"/>
    <w:rsid w:val="00B13A85"/>
    <w:rsid w:val="00B356DA"/>
    <w:rsid w:val="00C12128"/>
    <w:rsid w:val="00C37F72"/>
    <w:rsid w:val="00C43A6F"/>
    <w:rsid w:val="00C56C5D"/>
    <w:rsid w:val="00CA0FC1"/>
    <w:rsid w:val="00CB078D"/>
    <w:rsid w:val="00CB7429"/>
    <w:rsid w:val="00CC4C67"/>
    <w:rsid w:val="00CF1601"/>
    <w:rsid w:val="00CF3EDD"/>
    <w:rsid w:val="00D00B8B"/>
    <w:rsid w:val="00D0198F"/>
    <w:rsid w:val="00D05D85"/>
    <w:rsid w:val="00D23442"/>
    <w:rsid w:val="00D65E67"/>
    <w:rsid w:val="00D82D06"/>
    <w:rsid w:val="00DA3162"/>
    <w:rsid w:val="00DE7C78"/>
    <w:rsid w:val="00DF6CCB"/>
    <w:rsid w:val="00E35593"/>
    <w:rsid w:val="00E50650"/>
    <w:rsid w:val="00E6752C"/>
    <w:rsid w:val="00E7346E"/>
    <w:rsid w:val="00E75BE8"/>
    <w:rsid w:val="00E92B0D"/>
    <w:rsid w:val="00E92E93"/>
    <w:rsid w:val="00F31224"/>
    <w:rsid w:val="00F51DD5"/>
    <w:rsid w:val="00F9133C"/>
    <w:rsid w:val="00F97251"/>
    <w:rsid w:val="00FC30E8"/>
    <w:rsid w:val="00FE1E90"/>
    <w:rsid w:val="00FF0BF9"/>
    <w:rsid w:val="01BB2F62"/>
    <w:rsid w:val="02AD1F6C"/>
    <w:rsid w:val="02EF504C"/>
    <w:rsid w:val="03432BEC"/>
    <w:rsid w:val="037E62D4"/>
    <w:rsid w:val="042F4147"/>
    <w:rsid w:val="04436674"/>
    <w:rsid w:val="04602A12"/>
    <w:rsid w:val="050F5843"/>
    <w:rsid w:val="056B4D0C"/>
    <w:rsid w:val="05A46B4A"/>
    <w:rsid w:val="064B4C58"/>
    <w:rsid w:val="066602EE"/>
    <w:rsid w:val="0759624E"/>
    <w:rsid w:val="07BB3811"/>
    <w:rsid w:val="07FA21C0"/>
    <w:rsid w:val="080F03DB"/>
    <w:rsid w:val="08372597"/>
    <w:rsid w:val="08940699"/>
    <w:rsid w:val="0A2E0844"/>
    <w:rsid w:val="0B5B1B3E"/>
    <w:rsid w:val="0B777BB3"/>
    <w:rsid w:val="0C0B27E0"/>
    <w:rsid w:val="0DEE5585"/>
    <w:rsid w:val="0F196254"/>
    <w:rsid w:val="0F1C229A"/>
    <w:rsid w:val="0F294A50"/>
    <w:rsid w:val="115A7AEF"/>
    <w:rsid w:val="13E33BD9"/>
    <w:rsid w:val="14386A21"/>
    <w:rsid w:val="15730342"/>
    <w:rsid w:val="165F59C0"/>
    <w:rsid w:val="17C45CC9"/>
    <w:rsid w:val="192E4322"/>
    <w:rsid w:val="197D440E"/>
    <w:rsid w:val="1AB67A7F"/>
    <w:rsid w:val="1BC606BC"/>
    <w:rsid w:val="1C3A2412"/>
    <w:rsid w:val="1C8847C0"/>
    <w:rsid w:val="1D503CF1"/>
    <w:rsid w:val="1D81481F"/>
    <w:rsid w:val="1E3C717A"/>
    <w:rsid w:val="1E4013FD"/>
    <w:rsid w:val="1E442741"/>
    <w:rsid w:val="1E8301E7"/>
    <w:rsid w:val="1F2D16FF"/>
    <w:rsid w:val="1F380CB0"/>
    <w:rsid w:val="20C02078"/>
    <w:rsid w:val="21086E11"/>
    <w:rsid w:val="2150547B"/>
    <w:rsid w:val="22302D9A"/>
    <w:rsid w:val="22E2060D"/>
    <w:rsid w:val="23691AD7"/>
    <w:rsid w:val="23A80556"/>
    <w:rsid w:val="23DA1FD8"/>
    <w:rsid w:val="240228F7"/>
    <w:rsid w:val="24B35C75"/>
    <w:rsid w:val="2552618E"/>
    <w:rsid w:val="25F618D9"/>
    <w:rsid w:val="265F61AE"/>
    <w:rsid w:val="26DB193D"/>
    <w:rsid w:val="26F92D8D"/>
    <w:rsid w:val="27022AE5"/>
    <w:rsid w:val="282333AA"/>
    <w:rsid w:val="28D60477"/>
    <w:rsid w:val="290A5444"/>
    <w:rsid w:val="2A4F0F8D"/>
    <w:rsid w:val="2AB02BCF"/>
    <w:rsid w:val="2AB81E6F"/>
    <w:rsid w:val="2ACC5777"/>
    <w:rsid w:val="2AFB53E2"/>
    <w:rsid w:val="2BFB2BF0"/>
    <w:rsid w:val="2CB25156"/>
    <w:rsid w:val="2D853BC5"/>
    <w:rsid w:val="2DDE5197"/>
    <w:rsid w:val="2E640BEA"/>
    <w:rsid w:val="30204423"/>
    <w:rsid w:val="304D000F"/>
    <w:rsid w:val="305630A5"/>
    <w:rsid w:val="314861EB"/>
    <w:rsid w:val="31B66A73"/>
    <w:rsid w:val="31D431C0"/>
    <w:rsid w:val="325A0708"/>
    <w:rsid w:val="34232993"/>
    <w:rsid w:val="345804CE"/>
    <w:rsid w:val="349F795A"/>
    <w:rsid w:val="37577D2A"/>
    <w:rsid w:val="381A17A1"/>
    <w:rsid w:val="384124F9"/>
    <w:rsid w:val="385B245B"/>
    <w:rsid w:val="387556FA"/>
    <w:rsid w:val="387F453C"/>
    <w:rsid w:val="38EC44D2"/>
    <w:rsid w:val="38EF4602"/>
    <w:rsid w:val="39321550"/>
    <w:rsid w:val="397F00F5"/>
    <w:rsid w:val="398A1098"/>
    <w:rsid w:val="3A5B4D59"/>
    <w:rsid w:val="3A72418E"/>
    <w:rsid w:val="3AB82B74"/>
    <w:rsid w:val="3ADB07F5"/>
    <w:rsid w:val="3C456DE2"/>
    <w:rsid w:val="3CB141EB"/>
    <w:rsid w:val="3CCE5C84"/>
    <w:rsid w:val="3CE40614"/>
    <w:rsid w:val="3D2D6E9B"/>
    <w:rsid w:val="3D323891"/>
    <w:rsid w:val="3D4F6AEA"/>
    <w:rsid w:val="3D7836F2"/>
    <w:rsid w:val="3DC02859"/>
    <w:rsid w:val="3E873239"/>
    <w:rsid w:val="3EC40A91"/>
    <w:rsid w:val="3EC559D7"/>
    <w:rsid w:val="3F0E6D60"/>
    <w:rsid w:val="3F6350AE"/>
    <w:rsid w:val="3F68784A"/>
    <w:rsid w:val="3FE72229"/>
    <w:rsid w:val="3FEA2DAD"/>
    <w:rsid w:val="405D781D"/>
    <w:rsid w:val="40B660FA"/>
    <w:rsid w:val="40ED795A"/>
    <w:rsid w:val="41AE7AB7"/>
    <w:rsid w:val="42423D8F"/>
    <w:rsid w:val="42D71E70"/>
    <w:rsid w:val="42E65EDB"/>
    <w:rsid w:val="439C49E9"/>
    <w:rsid w:val="451C4FC8"/>
    <w:rsid w:val="45BE4F36"/>
    <w:rsid w:val="46A95F72"/>
    <w:rsid w:val="482317DD"/>
    <w:rsid w:val="48E62453"/>
    <w:rsid w:val="490C6EE7"/>
    <w:rsid w:val="497D631A"/>
    <w:rsid w:val="49FD439C"/>
    <w:rsid w:val="4A0D1632"/>
    <w:rsid w:val="4ACA6964"/>
    <w:rsid w:val="4B9127AA"/>
    <w:rsid w:val="4B9F5A01"/>
    <w:rsid w:val="4CF44267"/>
    <w:rsid w:val="4CF66BF1"/>
    <w:rsid w:val="4D6B35BB"/>
    <w:rsid w:val="4E23299E"/>
    <w:rsid w:val="4E852A79"/>
    <w:rsid w:val="4E8A0956"/>
    <w:rsid w:val="4EBD692B"/>
    <w:rsid w:val="4EFD1C11"/>
    <w:rsid w:val="4F7924A4"/>
    <w:rsid w:val="4F972A15"/>
    <w:rsid w:val="517B6FCD"/>
    <w:rsid w:val="51A831B6"/>
    <w:rsid w:val="520F270C"/>
    <w:rsid w:val="525E56AC"/>
    <w:rsid w:val="526E0CE6"/>
    <w:rsid w:val="52E11C9C"/>
    <w:rsid w:val="531323ED"/>
    <w:rsid w:val="536D45E9"/>
    <w:rsid w:val="53D54174"/>
    <w:rsid w:val="53FE0454"/>
    <w:rsid w:val="543F6675"/>
    <w:rsid w:val="54417ED9"/>
    <w:rsid w:val="545755D2"/>
    <w:rsid w:val="54BD60BA"/>
    <w:rsid w:val="55304846"/>
    <w:rsid w:val="55444A03"/>
    <w:rsid w:val="55826803"/>
    <w:rsid w:val="559C588E"/>
    <w:rsid w:val="56166B98"/>
    <w:rsid w:val="567506DF"/>
    <w:rsid w:val="596473C6"/>
    <w:rsid w:val="59ED75CA"/>
    <w:rsid w:val="5A550BC6"/>
    <w:rsid w:val="5B8B0CAF"/>
    <w:rsid w:val="5C787D67"/>
    <w:rsid w:val="5CD14EB7"/>
    <w:rsid w:val="5DF542D1"/>
    <w:rsid w:val="5E0305BB"/>
    <w:rsid w:val="5E99244B"/>
    <w:rsid w:val="5E9A08F4"/>
    <w:rsid w:val="5F0B101E"/>
    <w:rsid w:val="5F717F70"/>
    <w:rsid w:val="60A8691F"/>
    <w:rsid w:val="611249E5"/>
    <w:rsid w:val="61657E94"/>
    <w:rsid w:val="627742CA"/>
    <w:rsid w:val="62922EF6"/>
    <w:rsid w:val="63E71234"/>
    <w:rsid w:val="64685DBD"/>
    <w:rsid w:val="655D69C4"/>
    <w:rsid w:val="65991D61"/>
    <w:rsid w:val="671948C9"/>
    <w:rsid w:val="677E0995"/>
    <w:rsid w:val="67CF734F"/>
    <w:rsid w:val="67D70E09"/>
    <w:rsid w:val="67DA05B7"/>
    <w:rsid w:val="68AC54D2"/>
    <w:rsid w:val="693C65E5"/>
    <w:rsid w:val="69422F59"/>
    <w:rsid w:val="6A290527"/>
    <w:rsid w:val="6A5C0415"/>
    <w:rsid w:val="6AEE518D"/>
    <w:rsid w:val="6BDE2EA5"/>
    <w:rsid w:val="6CD21688"/>
    <w:rsid w:val="6DEB5987"/>
    <w:rsid w:val="6EC94EA6"/>
    <w:rsid w:val="6F3775D6"/>
    <w:rsid w:val="6F4629EA"/>
    <w:rsid w:val="71BA316C"/>
    <w:rsid w:val="71BB5310"/>
    <w:rsid w:val="723F721B"/>
    <w:rsid w:val="739C7146"/>
    <w:rsid w:val="746F5F5D"/>
    <w:rsid w:val="747152E8"/>
    <w:rsid w:val="74E62736"/>
    <w:rsid w:val="76381E25"/>
    <w:rsid w:val="76D717D1"/>
    <w:rsid w:val="7736564F"/>
    <w:rsid w:val="77622D36"/>
    <w:rsid w:val="77FC3235"/>
    <w:rsid w:val="78106230"/>
    <w:rsid w:val="786C689C"/>
    <w:rsid w:val="78AD4095"/>
    <w:rsid w:val="7936716D"/>
    <w:rsid w:val="79C159A3"/>
    <w:rsid w:val="7C1B7526"/>
    <w:rsid w:val="7C765475"/>
    <w:rsid w:val="7C817B31"/>
    <w:rsid w:val="7D4C6E37"/>
    <w:rsid w:val="7D546D68"/>
    <w:rsid w:val="7E632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Indent"/>
    <w:basedOn w:val="1"/>
    <w:qFormat/>
    <w:uiPriority w:val="0"/>
    <w:pPr>
      <w:ind w:firstLine="420" w:firstLineChars="200"/>
    </w:pPr>
  </w:style>
  <w:style w:type="paragraph" w:styleId="4">
    <w:name w:val="annotation text"/>
    <w:basedOn w:val="1"/>
    <w:semiHidden/>
    <w:unhideWhenUsed/>
    <w:qFormat/>
    <w:uiPriority w:val="99"/>
    <w:pPr>
      <w:jc w:val="left"/>
    </w:pPr>
  </w:style>
  <w:style w:type="paragraph" w:styleId="5">
    <w:name w:val="footer"/>
    <w:basedOn w:val="1"/>
    <w:link w:val="12"/>
    <w:semiHidden/>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6"/>
    <w:semiHidden/>
    <w:qFormat/>
    <w:uiPriority w:val="99"/>
    <w:rPr>
      <w:sz w:val="18"/>
      <w:szCs w:val="18"/>
    </w:rPr>
  </w:style>
  <w:style w:type="character" w:customStyle="1" w:styleId="12">
    <w:name w:val="页脚 字符"/>
    <w:basedOn w:val="9"/>
    <w:link w:val="5"/>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273</Words>
  <Characters>1557</Characters>
  <Lines>12</Lines>
  <Paragraphs>3</Paragraphs>
  <TotalTime>2</TotalTime>
  <ScaleCrop>false</ScaleCrop>
  <LinksUpToDate>false</LinksUpToDate>
  <CharactersWithSpaces>1827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2019-08-14T11:00:00Z</dcterms:created>
  <dc:creator>ꤰ˝璠ཞ㣔Թ윀ຯ६˕</dc:creator>
  <cp:lastModifiedBy>kcj-psy</cp:lastModifiedBy>
  <cp:lastPrinted>2021-07-30T14:27:00Z</cp:lastPrinted>
  <dcterms:modified xsi:type="dcterms:W3CDTF">2023-01-16T16:52:06Z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