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keepNext/>
        <w:keepLines/>
        <w:pageBreakBefore w:val="0"/>
        <w:widowControl w:val="0"/>
        <w:kinsoku/>
        <w:wordWrap/>
        <w:overflowPunct/>
        <w:topLinePunct w:val="0"/>
        <w:autoSpaceDE/>
        <w:autoSpaceDN/>
        <w:bidi w:val="0"/>
        <w:adjustRightInd/>
        <w:snapToGrid/>
        <w:spacing w:before="0" w:beforeLines="0" w:after="0" w:afterLines="0" w:line="560" w:lineRule="exact"/>
        <w:jc w:val="both"/>
        <w:textAlignment w:val="auto"/>
        <w:rPr>
          <w:rFonts w:hint="eastAsia" w:ascii="黑体" w:hAnsi="黑体" w:eastAsia="黑体" w:cs="黑体"/>
          <w:b w:val="0"/>
          <w:bCs/>
          <w:sz w:val="32"/>
          <w:szCs w:val="32"/>
          <w:lang w:val="en-US" w:eastAsia="zh-CN"/>
        </w:rPr>
      </w:pPr>
      <w:r>
        <w:rPr>
          <w:rFonts w:hint="eastAsia" w:ascii="黑体" w:hAnsi="黑体" w:eastAsia="黑体" w:cs="黑体"/>
          <w:b w:val="0"/>
          <w:bCs/>
          <w:sz w:val="32"/>
          <w:szCs w:val="32"/>
          <w:lang w:val="en-US" w:eastAsia="zh-CN"/>
        </w:rPr>
        <w:t>附件4</w:t>
      </w:r>
      <w:bookmarkStart w:id="0" w:name="_GoBack"/>
      <w:bookmarkEnd w:id="0"/>
    </w:p>
    <w:p>
      <w:pPr>
        <w:pStyle w:val="2"/>
        <w:keepNext/>
        <w:keepLines/>
        <w:pageBreakBefore w:val="0"/>
        <w:widowControl w:val="0"/>
        <w:kinsoku/>
        <w:wordWrap/>
        <w:overflowPunct/>
        <w:topLinePunct w:val="0"/>
        <w:autoSpaceDE/>
        <w:autoSpaceDN/>
        <w:bidi w:val="0"/>
        <w:adjustRightInd/>
        <w:snapToGrid/>
        <w:spacing w:before="0" w:beforeLines="0" w:after="0" w:afterLines="0" w:line="560" w:lineRule="exact"/>
        <w:jc w:val="center"/>
        <w:textAlignment w:val="auto"/>
        <w:rPr>
          <w:rFonts w:hint="eastAsia" w:ascii="方正小标宋简体" w:hAnsi="方正小标宋简体" w:eastAsia="方正小标宋简体" w:cs="方正小标宋简体"/>
          <w:b w:val="0"/>
          <w:bCs/>
          <w:sz w:val="44"/>
          <w:szCs w:val="44"/>
          <w:lang w:val="en-US" w:eastAsia="zh-CN"/>
        </w:rPr>
      </w:pPr>
    </w:p>
    <w:p>
      <w:pPr>
        <w:pStyle w:val="2"/>
        <w:keepNext/>
        <w:keepLines/>
        <w:pageBreakBefore w:val="0"/>
        <w:widowControl w:val="0"/>
        <w:kinsoku/>
        <w:wordWrap/>
        <w:overflowPunct/>
        <w:topLinePunct w:val="0"/>
        <w:autoSpaceDE/>
        <w:autoSpaceDN/>
        <w:bidi w:val="0"/>
        <w:adjustRightInd/>
        <w:snapToGrid/>
        <w:spacing w:before="0" w:beforeLines="0" w:after="0" w:afterLines="0" w:line="560" w:lineRule="exact"/>
        <w:jc w:val="center"/>
        <w:textAlignment w:val="auto"/>
        <w:rPr>
          <w:rFonts w:hint="eastAsia"/>
          <w:sz w:val="44"/>
          <w:szCs w:val="44"/>
          <w:lang w:val="en-US" w:eastAsia="zh-CN"/>
        </w:rPr>
      </w:pPr>
      <w:r>
        <w:rPr>
          <w:rFonts w:hint="eastAsia" w:ascii="方正小标宋简体" w:hAnsi="方正小标宋简体" w:eastAsia="方正小标宋简体" w:cs="方正小标宋简体"/>
          <w:b w:val="0"/>
          <w:bCs/>
          <w:sz w:val="44"/>
          <w:szCs w:val="44"/>
          <w:lang w:val="en-US" w:eastAsia="zh-CN"/>
        </w:rPr>
        <w:t>企业申报端操作指引</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560" w:firstLineChars="200"/>
        <w:textAlignment w:val="auto"/>
        <w:rPr>
          <w:rFonts w:hint="eastAsia" w:ascii="黑体" w:hAnsi="黑体" w:eastAsia="黑体" w:cs="黑体"/>
          <w:b w:val="0"/>
          <w:bCs w:val="0"/>
          <w:sz w:val="28"/>
          <w:szCs w:val="36"/>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560" w:firstLineChars="200"/>
        <w:textAlignment w:val="auto"/>
        <w:rPr>
          <w:rFonts w:hint="eastAsia" w:ascii="黑体" w:hAnsi="黑体" w:eastAsia="黑体" w:cs="黑体"/>
          <w:b w:val="0"/>
          <w:bCs w:val="0"/>
          <w:lang w:val="en-US" w:eastAsia="zh-CN"/>
        </w:rPr>
      </w:pPr>
      <w:r>
        <w:rPr>
          <w:rFonts w:hint="eastAsia" w:ascii="黑体" w:hAnsi="黑体" w:eastAsia="黑体" w:cs="黑体"/>
          <w:b w:val="0"/>
          <w:bCs w:val="0"/>
          <w:sz w:val="28"/>
          <w:szCs w:val="36"/>
          <w:lang w:val="en-US" w:eastAsia="zh-CN"/>
        </w:rPr>
        <w:t>一、业务申报步骤</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40"/>
          <w:lang w:val="en-US" w:eastAsia="zh-CN"/>
        </w:rPr>
      </w:pPr>
      <w:r>
        <w:rPr>
          <w:rFonts w:hint="eastAsia" w:ascii="仿宋_GB2312" w:hAnsi="仿宋_GB2312" w:eastAsia="仿宋_GB2312" w:cs="仿宋_GB2312"/>
          <w:sz w:val="32"/>
          <w:szCs w:val="40"/>
          <w:lang w:val="en-US" w:eastAsia="zh-CN"/>
        </w:rPr>
        <w:t>1.企业申报的入口和步骤如下：</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40"/>
          <w:lang w:val="en-US" w:eastAsia="zh-CN"/>
        </w:rPr>
      </w:pPr>
      <w:r>
        <w:rPr>
          <w:rFonts w:hint="eastAsia" w:ascii="仿宋_GB2312" w:hAnsi="仿宋_GB2312" w:eastAsia="仿宋_GB2312" w:cs="仿宋_GB2312"/>
          <w:sz w:val="32"/>
          <w:szCs w:val="40"/>
          <w:lang w:val="en-US" w:eastAsia="zh-CN"/>
        </w:rPr>
        <w:t>（1）登录广东政务服务网（https://www.gdzwfw.gov.cn/）。</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40"/>
          <w:lang w:val="en-US" w:eastAsia="zh-CN"/>
        </w:rPr>
      </w:pPr>
      <w:r>
        <w:rPr>
          <w:rFonts w:hint="eastAsia" w:ascii="仿宋_GB2312" w:hAnsi="仿宋_GB2312" w:eastAsia="仿宋_GB2312" w:cs="仿宋_GB2312"/>
          <w:sz w:val="32"/>
          <w:szCs w:val="40"/>
          <w:lang w:val="en-US" w:eastAsia="zh-CN"/>
        </w:rPr>
        <w:t>（2）选择“深圳市”、“市工业和信息化局”。</w:t>
      </w:r>
    </w:p>
    <w:p>
      <w:pPr>
        <w:numPr>
          <w:ilvl w:val="0"/>
          <w:numId w:val="0"/>
        </w:numPr>
        <w:jc w:val="center"/>
      </w:pPr>
      <w:r>
        <w:drawing>
          <wp:inline distT="0" distB="0" distL="114300" distR="114300">
            <wp:extent cx="4866005" cy="3044825"/>
            <wp:effectExtent l="0" t="0" r="10795" b="3175"/>
            <wp:docPr id="4"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true"/>
                    </pic:cNvPicPr>
                  </pic:nvPicPr>
                  <pic:blipFill>
                    <a:blip r:embed="rId5"/>
                    <a:stretch>
                      <a:fillRect/>
                    </a:stretch>
                  </pic:blipFill>
                  <pic:spPr>
                    <a:xfrm>
                      <a:off x="0" y="0"/>
                      <a:ext cx="4866005" cy="304482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40"/>
          <w:lang w:val="en-US" w:eastAsia="zh-CN"/>
        </w:rPr>
      </w:pPr>
      <w:r>
        <w:rPr>
          <w:rFonts w:hint="eastAsia" w:ascii="仿宋_GB2312" w:hAnsi="仿宋_GB2312" w:eastAsia="仿宋_GB2312" w:cs="仿宋_GB2312"/>
          <w:sz w:val="32"/>
          <w:szCs w:val="40"/>
          <w:lang w:val="en-US" w:eastAsia="zh-CN"/>
        </w:rPr>
        <w:t>（3）</w:t>
      </w:r>
      <w:r>
        <w:rPr>
          <w:rFonts w:hint="default" w:ascii="仿宋_GB2312" w:hAnsi="仿宋_GB2312" w:eastAsia="仿宋_GB2312" w:cs="仿宋_GB2312"/>
          <w:sz w:val="32"/>
          <w:szCs w:val="40"/>
          <w:lang w:val="en-US" w:eastAsia="zh-CN"/>
        </w:rPr>
        <w:t>搜索需要申报的事项名称，选择申报业务情形</w:t>
      </w:r>
      <w:r>
        <w:rPr>
          <w:rFonts w:hint="eastAsia" w:ascii="仿宋_GB2312" w:hAnsi="仿宋_GB2312" w:eastAsia="仿宋_GB2312" w:cs="仿宋_GB2312"/>
          <w:sz w:val="32"/>
          <w:szCs w:val="40"/>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40"/>
          <w:lang w:val="en-US" w:eastAsia="zh-CN"/>
        </w:rPr>
      </w:pPr>
      <w:r>
        <w:rPr>
          <w:rFonts w:hint="eastAsia" w:ascii="仿宋_GB2312" w:hAnsi="仿宋_GB2312" w:eastAsia="仿宋_GB2312" w:cs="仿宋_GB2312"/>
          <w:sz w:val="32"/>
          <w:szCs w:val="40"/>
          <w:lang w:val="en-US" w:eastAsia="zh-CN"/>
        </w:rPr>
        <w:t>（4）</w:t>
      </w:r>
      <w:r>
        <w:rPr>
          <w:rFonts w:hint="default" w:ascii="仿宋_GB2312" w:hAnsi="仿宋_GB2312" w:eastAsia="仿宋_GB2312" w:cs="仿宋_GB2312"/>
          <w:sz w:val="32"/>
          <w:szCs w:val="40"/>
          <w:lang w:val="en-US" w:eastAsia="zh-CN"/>
        </w:rPr>
        <w:t>点击“在线办理”进行申报、提交项目申请材料。</w:t>
      </w:r>
    </w:p>
    <w:p>
      <w:pPr>
        <w:numPr>
          <w:ilvl w:val="0"/>
          <w:numId w:val="0"/>
        </w:numPr>
        <w:jc w:val="center"/>
        <w:rPr>
          <w:lang w:val="en-US" w:eastAsia="zh-CN"/>
        </w:rPr>
      </w:pPr>
    </w:p>
    <w:p>
      <w:pPr>
        <w:numPr>
          <w:ilvl w:val="0"/>
          <w:numId w:val="0"/>
        </w:numPr>
        <w:jc w:val="center"/>
      </w:pPr>
      <w:r>
        <w:drawing>
          <wp:inline distT="0" distB="0" distL="114300" distR="114300">
            <wp:extent cx="4895850" cy="3067685"/>
            <wp:effectExtent l="0" t="0" r="0" b="18415"/>
            <wp:docPr id="6" name="图片 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true"/>
                    </pic:cNvPicPr>
                  </pic:nvPicPr>
                  <pic:blipFill>
                    <a:blip r:embed="rId6"/>
                    <a:stretch>
                      <a:fillRect/>
                    </a:stretch>
                  </pic:blipFill>
                  <pic:spPr>
                    <a:xfrm>
                      <a:off x="0" y="0"/>
                      <a:ext cx="4895850" cy="306768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40"/>
          <w:lang w:val="en-US" w:eastAsia="zh-CN"/>
        </w:rPr>
      </w:pPr>
      <w:r>
        <w:rPr>
          <w:rFonts w:hint="eastAsia" w:ascii="仿宋_GB2312" w:hAnsi="仿宋_GB2312" w:eastAsia="仿宋_GB2312" w:cs="仿宋_GB2312"/>
          <w:sz w:val="32"/>
          <w:szCs w:val="40"/>
          <w:lang w:val="en-US" w:eastAsia="zh-CN"/>
        </w:rPr>
        <w:t>2.申报信息填写完毕后，需要上传申报所需的材料清单文件，注意事项：材料形式若为纸质，则不需要在系统上进行文件上传。</w:t>
      </w:r>
    </w:p>
    <w:p>
      <w:pPr>
        <w:numPr>
          <w:ilvl w:val="0"/>
          <w:numId w:val="0"/>
        </w:numPr>
        <w:ind w:left="420" w:leftChars="200" w:firstLine="0" w:firstLineChars="0"/>
        <w:jc w:val="left"/>
      </w:pPr>
      <w:r>
        <w:drawing>
          <wp:inline distT="0" distB="0" distL="114300" distR="114300">
            <wp:extent cx="5347970" cy="3616960"/>
            <wp:effectExtent l="0" t="0" r="5080" b="2540"/>
            <wp:docPr id="3"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true"/>
                    </pic:cNvPicPr>
                  </pic:nvPicPr>
                  <pic:blipFill>
                    <a:blip r:embed="rId7"/>
                    <a:stretch>
                      <a:fillRect/>
                    </a:stretch>
                  </pic:blipFill>
                  <pic:spPr>
                    <a:xfrm>
                      <a:off x="0" y="0"/>
                      <a:ext cx="5347970" cy="361696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420" w:leftChars="200" w:firstLine="0" w:firstLineChars="0"/>
        <w:jc w:val="left"/>
        <w:textAlignment w:val="auto"/>
        <w:rPr>
          <w:rFonts w:hint="default" w:ascii="黑体" w:hAnsi="黑体" w:eastAsia="黑体" w:cs="黑体"/>
          <w:b w:val="0"/>
          <w:bCs w:val="0"/>
          <w:sz w:val="32"/>
          <w:szCs w:val="40"/>
          <w:lang w:val="en-US" w:eastAsia="zh-CN"/>
        </w:rPr>
      </w:pPr>
      <w:r>
        <w:rPr>
          <w:rFonts w:hint="eastAsia" w:ascii="黑体" w:hAnsi="黑体" w:eastAsia="黑体" w:cs="黑体"/>
          <w:b w:val="0"/>
          <w:bCs w:val="0"/>
          <w:sz w:val="32"/>
          <w:szCs w:val="40"/>
          <w:lang w:val="en-US" w:eastAsia="zh-CN"/>
        </w:rPr>
        <w:t>二、申报记录查询步骤</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420" w:firstLineChars="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对于在申报过程中未填完所有信息的用户或已经填写完所有信息且成功提交的用户，若</w:t>
      </w:r>
      <w:r>
        <w:rPr>
          <w:rFonts w:hint="default" w:ascii="仿宋_GB2312" w:hAnsi="仿宋_GB2312" w:eastAsia="仿宋_GB2312" w:cs="仿宋_GB2312"/>
          <w:sz w:val="32"/>
          <w:szCs w:val="32"/>
          <w:lang w:val="en-US" w:eastAsia="zh-CN"/>
        </w:rPr>
        <w:t>需要查看</w:t>
      </w:r>
      <w:r>
        <w:rPr>
          <w:rFonts w:hint="eastAsia" w:ascii="仿宋_GB2312" w:hAnsi="仿宋_GB2312" w:eastAsia="仿宋_GB2312" w:cs="仿宋_GB2312"/>
          <w:sz w:val="32"/>
          <w:szCs w:val="32"/>
          <w:lang w:val="en-US" w:eastAsia="zh-CN"/>
        </w:rPr>
        <w:t>以上未完成或已提交成功</w:t>
      </w:r>
      <w:r>
        <w:rPr>
          <w:rFonts w:hint="default" w:ascii="仿宋_GB2312" w:hAnsi="仿宋_GB2312" w:eastAsia="仿宋_GB2312" w:cs="仿宋_GB2312"/>
          <w:sz w:val="32"/>
          <w:szCs w:val="32"/>
          <w:lang w:val="en-US" w:eastAsia="zh-CN"/>
        </w:rPr>
        <w:t>的申报记录</w:t>
      </w:r>
      <w:r>
        <w:rPr>
          <w:rFonts w:hint="eastAsia" w:ascii="仿宋_GB2312" w:hAnsi="仿宋_GB2312" w:eastAsia="仿宋_GB2312" w:cs="仿宋_GB2312"/>
          <w:sz w:val="32"/>
          <w:szCs w:val="32"/>
          <w:lang w:val="en-US" w:eastAsia="zh-CN"/>
        </w:rPr>
        <w:t>，可按以下</w:t>
      </w:r>
      <w:r>
        <w:rPr>
          <w:rFonts w:hint="default" w:ascii="仿宋_GB2312" w:hAnsi="仿宋_GB2312" w:eastAsia="仿宋_GB2312" w:cs="仿宋_GB2312"/>
          <w:sz w:val="32"/>
          <w:szCs w:val="32"/>
          <w:lang w:val="en-US" w:eastAsia="zh-CN"/>
        </w:rPr>
        <w:t>步骤</w:t>
      </w:r>
      <w:r>
        <w:rPr>
          <w:rFonts w:hint="eastAsia" w:ascii="仿宋_GB2312" w:hAnsi="仿宋_GB2312" w:eastAsia="仿宋_GB2312" w:cs="仿宋_GB2312"/>
          <w:sz w:val="32"/>
          <w:szCs w:val="32"/>
          <w:lang w:val="en-US" w:eastAsia="zh-CN"/>
        </w:rPr>
        <w:t>进行查询</w:t>
      </w:r>
      <w:r>
        <w:rPr>
          <w:rFonts w:hint="default" w:ascii="仿宋_GB2312" w:hAnsi="仿宋_GB2312" w:eastAsia="仿宋_GB2312" w:cs="仿宋_GB2312"/>
          <w:sz w:val="32"/>
          <w:szCs w:val="32"/>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420" w:firstLineChars="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w:t>
      </w:r>
      <w:r>
        <w:rPr>
          <w:rFonts w:hint="default" w:ascii="仿宋_GB2312" w:hAnsi="仿宋_GB2312" w:eastAsia="仿宋_GB2312" w:cs="仿宋_GB2312"/>
          <w:sz w:val="32"/>
          <w:szCs w:val="32"/>
          <w:lang w:val="en-US" w:eastAsia="zh-CN"/>
        </w:rPr>
        <w:t>登录广东政务服务网（https://www.gdzwfw.gov.cn/）→ 选择“深圳市”“深圳市工业和信息化局”→“办事记录”。</w:t>
      </w:r>
    </w:p>
    <w:p>
      <w:pPr>
        <w:numPr>
          <w:ilvl w:val="0"/>
          <w:numId w:val="0"/>
        </w:numPr>
        <w:jc w:val="center"/>
        <w:rPr>
          <w:rFonts w:hint="default"/>
          <w:lang w:val="en-US" w:eastAsia="zh-CN"/>
        </w:rPr>
      </w:pPr>
      <w:r>
        <w:drawing>
          <wp:inline distT="0" distB="0" distL="114300" distR="114300">
            <wp:extent cx="5031740" cy="2849245"/>
            <wp:effectExtent l="0" t="0" r="16510" b="8255"/>
            <wp:docPr id="2"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true"/>
                    </pic:cNvPicPr>
                  </pic:nvPicPr>
                  <pic:blipFill>
                    <a:blip r:embed="rId8"/>
                    <a:stretch>
                      <a:fillRect/>
                    </a:stretch>
                  </pic:blipFill>
                  <pic:spPr>
                    <a:xfrm>
                      <a:off x="0" y="0"/>
                      <a:ext cx="5031740" cy="284924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w:t>
      </w:r>
      <w:r>
        <w:rPr>
          <w:rFonts w:hint="default" w:ascii="仿宋_GB2312" w:hAnsi="仿宋_GB2312" w:eastAsia="仿宋_GB2312" w:cs="仿宋_GB2312"/>
          <w:sz w:val="32"/>
          <w:szCs w:val="32"/>
          <w:lang w:val="en-US" w:eastAsia="zh-CN"/>
        </w:rPr>
        <w:t>用户</w:t>
      </w:r>
      <w:r>
        <w:rPr>
          <w:rFonts w:hint="eastAsia" w:ascii="仿宋_GB2312" w:hAnsi="仿宋_GB2312" w:eastAsia="仿宋_GB2312" w:cs="仿宋_GB2312"/>
          <w:sz w:val="32"/>
          <w:szCs w:val="32"/>
          <w:lang w:val="en-US" w:eastAsia="zh-CN"/>
        </w:rPr>
        <w:t>点击</w:t>
      </w:r>
      <w:r>
        <w:rPr>
          <w:rFonts w:hint="default" w:ascii="仿宋_GB2312" w:hAnsi="仿宋_GB2312" w:eastAsia="仿宋_GB2312" w:cs="仿宋_GB2312"/>
          <w:sz w:val="32"/>
          <w:szCs w:val="32"/>
          <w:lang w:val="en-US" w:eastAsia="zh-CN"/>
        </w:rPr>
        <w:t>“办事记录”后，</w:t>
      </w:r>
      <w:r>
        <w:rPr>
          <w:rFonts w:hint="eastAsia" w:ascii="仿宋_GB2312" w:hAnsi="仿宋_GB2312" w:eastAsia="仿宋_GB2312" w:cs="仿宋_GB2312"/>
          <w:sz w:val="32"/>
          <w:szCs w:val="32"/>
          <w:lang w:val="en-US" w:eastAsia="zh-CN"/>
        </w:rPr>
        <w:t>会跳转到</w:t>
      </w:r>
      <w:r>
        <w:rPr>
          <w:rFonts w:hint="default" w:ascii="仿宋_GB2312" w:hAnsi="仿宋_GB2312" w:eastAsia="仿宋_GB2312" w:cs="仿宋_GB2312"/>
          <w:sz w:val="32"/>
          <w:szCs w:val="32"/>
          <w:lang w:val="en-US" w:eastAsia="zh-CN"/>
        </w:rPr>
        <w:t>“深圳市企业专属网页”，在</w:t>
      </w:r>
      <w:r>
        <w:rPr>
          <w:rFonts w:hint="eastAsia" w:ascii="仿宋_GB2312" w:hAnsi="仿宋_GB2312" w:eastAsia="仿宋_GB2312" w:cs="仿宋_GB2312"/>
          <w:sz w:val="32"/>
          <w:szCs w:val="32"/>
          <w:lang w:val="en-US" w:eastAsia="zh-CN"/>
        </w:rPr>
        <w:t>此界面</w:t>
      </w:r>
      <w:r>
        <w:rPr>
          <w:rFonts w:hint="default" w:ascii="仿宋_GB2312" w:hAnsi="仿宋_GB2312" w:eastAsia="仿宋_GB2312" w:cs="仿宋_GB2312"/>
          <w:sz w:val="32"/>
          <w:szCs w:val="32"/>
          <w:lang w:val="en-US" w:eastAsia="zh-CN"/>
        </w:rPr>
        <w:t>用户</w:t>
      </w:r>
      <w:r>
        <w:rPr>
          <w:rFonts w:hint="eastAsia" w:ascii="仿宋_GB2312" w:hAnsi="仿宋_GB2312" w:eastAsia="仿宋_GB2312" w:cs="仿宋_GB2312"/>
          <w:sz w:val="32"/>
          <w:szCs w:val="32"/>
          <w:lang w:val="en-US" w:eastAsia="zh-CN"/>
        </w:rPr>
        <w:t>可以查看所有的</w:t>
      </w:r>
      <w:r>
        <w:rPr>
          <w:rFonts w:hint="default" w:ascii="仿宋_GB2312" w:hAnsi="仿宋_GB2312" w:eastAsia="仿宋_GB2312" w:cs="仿宋_GB2312"/>
          <w:sz w:val="32"/>
          <w:szCs w:val="32"/>
          <w:lang w:val="en-US" w:eastAsia="zh-CN"/>
        </w:rPr>
        <w:t>申报记录</w:t>
      </w:r>
      <w:r>
        <w:rPr>
          <w:rFonts w:hint="eastAsia" w:ascii="仿宋_GB2312" w:hAnsi="仿宋_GB2312" w:eastAsia="仿宋_GB2312" w:cs="仿宋_GB2312"/>
          <w:sz w:val="32"/>
          <w:szCs w:val="32"/>
          <w:lang w:val="en-US" w:eastAsia="zh-CN"/>
        </w:rPr>
        <w:t>包括已提交成功的、未提交的、提交被驳回的等等</w:t>
      </w:r>
      <w:r>
        <w:rPr>
          <w:rFonts w:hint="default" w:ascii="仿宋_GB2312" w:hAnsi="仿宋_GB2312" w:eastAsia="仿宋_GB2312" w:cs="仿宋_GB2312"/>
          <w:sz w:val="32"/>
          <w:szCs w:val="32"/>
          <w:lang w:val="en-US" w:eastAsia="zh-CN"/>
        </w:rPr>
        <w:t>，</w:t>
      </w:r>
      <w:r>
        <w:rPr>
          <w:rFonts w:hint="eastAsia" w:ascii="仿宋_GB2312" w:hAnsi="仿宋_GB2312" w:eastAsia="仿宋_GB2312" w:cs="仿宋_GB2312"/>
          <w:sz w:val="32"/>
          <w:szCs w:val="32"/>
          <w:lang w:val="en-US" w:eastAsia="zh-CN"/>
        </w:rPr>
        <w:t>对于被驳回的申报记录可以查看详细的驳回详情；同时提供</w:t>
      </w:r>
      <w:r>
        <w:rPr>
          <w:rFonts w:hint="default" w:ascii="仿宋_GB2312" w:hAnsi="仿宋_GB2312" w:eastAsia="仿宋_GB2312" w:cs="仿宋_GB2312"/>
          <w:sz w:val="32"/>
          <w:szCs w:val="32"/>
          <w:lang w:val="en-US" w:eastAsia="zh-CN"/>
        </w:rPr>
        <w:t>申报书打印下载的入口。</w:t>
      </w:r>
    </w:p>
    <w:p>
      <w:pPr>
        <w:numPr>
          <w:ilvl w:val="0"/>
          <w:numId w:val="0"/>
        </w:numPr>
        <w:jc w:val="center"/>
        <w:rPr>
          <w:rFonts w:hint="eastAsia" w:eastAsiaTheme="minorEastAsia"/>
          <w:lang w:eastAsia="zh-CN"/>
        </w:rPr>
      </w:pPr>
      <w:r>
        <w:rPr>
          <w:rFonts w:hint="eastAsia" w:eastAsiaTheme="minorEastAsia"/>
          <w:lang w:eastAsia="zh-CN"/>
        </w:rPr>
        <w:drawing>
          <wp:inline distT="0" distB="0" distL="114300" distR="114300">
            <wp:extent cx="5268595" cy="3382010"/>
            <wp:effectExtent l="0" t="0" r="8255" b="8890"/>
            <wp:docPr id="12" name="图片 12" descr="168681465083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true"/>
                    </pic:cNvPicPr>
                  </pic:nvPicPr>
                  <pic:blipFill>
                    <a:blip r:embed="rId9"/>
                    <a:stretch>
                      <a:fillRect/>
                    </a:stretch>
                  </pic:blipFill>
                  <pic:spPr>
                    <a:xfrm>
                      <a:off x="0" y="0"/>
                      <a:ext cx="5268595" cy="338201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（3）用户提交申报信息后，若收到被退回或驳回的短信，则可根据短信指引的内容步骤进入到“办事记录”，点击“业务详情”或“驳回详情”查看具体的信息。</w:t>
      </w:r>
    </w:p>
    <w:p>
      <w:pPr>
        <w:numPr>
          <w:ilvl w:val="0"/>
          <w:numId w:val="0"/>
        </w:numPr>
        <w:bidi w:val="0"/>
      </w:pPr>
      <w:r>
        <w:drawing>
          <wp:inline distT="0" distB="0" distL="114300" distR="114300">
            <wp:extent cx="5235575" cy="3613150"/>
            <wp:effectExtent l="0" t="0" r="3175" b="6350"/>
            <wp:docPr id="5"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true"/>
                    </pic:cNvPicPr>
                  </pic:nvPicPr>
                  <pic:blipFill>
                    <a:blip r:embed="rId10"/>
                    <a:stretch>
                      <a:fillRect/>
                    </a:stretch>
                  </pic:blipFill>
                  <pic:spPr>
                    <a:xfrm>
                      <a:off x="0" y="0"/>
                      <a:ext cx="5235575" cy="3613150"/>
                    </a:xfrm>
                    <a:prstGeom prst="rect">
                      <a:avLst/>
                    </a:prstGeom>
                  </pic:spPr>
                </pic:pic>
              </a:graphicData>
            </a:graphic>
          </wp:inline>
        </w:drawing>
      </w:r>
    </w:p>
    <w:p>
      <w:pPr>
        <w:numPr>
          <w:ilvl w:val="0"/>
          <w:numId w:val="0"/>
        </w:numPr>
        <w:bidi w:val="0"/>
      </w:pPr>
    </w:p>
    <w:p>
      <w:pPr>
        <w:numPr>
          <w:ilvl w:val="0"/>
          <w:numId w:val="0"/>
        </w:numPr>
        <w:bidi w:val="0"/>
      </w:pPr>
      <w:r>
        <w:drawing>
          <wp:inline distT="0" distB="0" distL="114300" distR="114300">
            <wp:extent cx="5261610" cy="2449830"/>
            <wp:effectExtent l="0" t="0" r="15240" b="7620"/>
            <wp:docPr id="7" name="图片 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true"/>
                    </pic:cNvPicPr>
                  </pic:nvPicPr>
                  <pic:blipFill>
                    <a:blip r:embed="rId11"/>
                    <a:stretch>
                      <a:fillRect/>
                    </a:stretch>
                  </pic:blipFill>
                  <pic:spPr>
                    <a:xfrm>
                      <a:off x="0" y="0"/>
                      <a:ext cx="5261610" cy="244983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（4）若用户想要在此前提交的信息基础上修改后再申报，则可以点击“继续办理”，进入到申报信息填写界面，修改完后提交即可。</w:t>
      </w:r>
    </w:p>
    <w:p>
      <w:pPr>
        <w:numPr>
          <w:ilvl w:val="0"/>
          <w:numId w:val="0"/>
        </w:numPr>
        <w:bidi w:val="0"/>
      </w:pPr>
      <w:r>
        <w:drawing>
          <wp:inline distT="0" distB="0" distL="114300" distR="114300">
            <wp:extent cx="5274945" cy="3264535"/>
            <wp:effectExtent l="0" t="0" r="1905" b="12065"/>
            <wp:docPr id="8"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true"/>
                    </pic:cNvPicPr>
                  </pic:nvPicPr>
                  <pic:blipFill>
                    <a:blip r:embed="rId12"/>
                    <a:stretch>
                      <a:fillRect/>
                    </a:stretch>
                  </pic:blipFill>
                  <pic:spPr>
                    <a:xfrm>
                      <a:off x="0" y="0"/>
                      <a:ext cx="5274945" cy="3264535"/>
                    </a:xfrm>
                    <a:prstGeom prst="rect">
                      <a:avLst/>
                    </a:prstGeom>
                  </pic:spPr>
                </pic:pic>
              </a:graphicData>
            </a:graphic>
          </wp:inline>
        </w:drawing>
      </w:r>
    </w:p>
    <w:p>
      <w:pPr>
        <w:numPr>
          <w:ilvl w:val="0"/>
          <w:numId w:val="0"/>
        </w:numPr>
        <w:bidi w:val="0"/>
      </w:pP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420" w:firstLineChars="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（5）对于用户所申报业务预审通过的情况，需要下载并打印填报的申请书（右上角</w:t>
      </w:r>
      <w:r>
        <w:rPr>
          <w:rFonts w:hint="eastAsia" w:ascii="仿宋_GB2312" w:hAnsi="仿宋_GB2312" w:eastAsia="仿宋_GB2312" w:cs="仿宋_GB2312"/>
          <w:b/>
          <w:bCs/>
          <w:sz w:val="32"/>
          <w:szCs w:val="32"/>
          <w:highlight w:val="none"/>
          <w:lang w:val="en-US" w:eastAsia="zh-CN"/>
        </w:rPr>
        <w:t>申报状态：已预审</w:t>
      </w:r>
      <w:r>
        <w:rPr>
          <w:rFonts w:hint="eastAsia" w:ascii="仿宋_GB2312" w:hAnsi="仿宋_GB2312" w:eastAsia="仿宋_GB2312" w:cs="仿宋_GB2312"/>
          <w:b w:val="0"/>
          <w:bCs w:val="0"/>
          <w:sz w:val="32"/>
          <w:szCs w:val="32"/>
          <w:highlight w:val="none"/>
          <w:lang w:val="en-US" w:eastAsia="zh-CN"/>
        </w:rPr>
        <w:t>），</w:t>
      </w:r>
      <w:r>
        <w:rPr>
          <w:rFonts w:hint="eastAsia" w:ascii="仿宋_GB2312" w:hAnsi="仿宋_GB2312" w:eastAsia="仿宋_GB2312" w:cs="仿宋_GB2312"/>
          <w:sz w:val="32"/>
          <w:szCs w:val="32"/>
          <w:lang w:val="en-US" w:eastAsia="zh-CN"/>
        </w:rPr>
        <w:t>根据上述操作步骤进入到“办事记录”后，在对应的事项记录中点击“业务详情”进入详情界面，在详情界面左上角点击“表单信息”，此时即可查看用户填报的申请书详情，再点击右上角的“打印”按钮即可进行下载。</w:t>
      </w:r>
    </w:p>
    <w:p>
      <w:pPr>
        <w:numPr>
          <w:ilvl w:val="0"/>
          <w:numId w:val="0"/>
        </w:numPr>
        <w:bidi w:val="0"/>
      </w:pPr>
      <w:r>
        <w:drawing>
          <wp:inline distT="0" distB="0" distL="114300" distR="114300">
            <wp:extent cx="5337175" cy="2546985"/>
            <wp:effectExtent l="0" t="0" r="15875" b="5715"/>
            <wp:docPr id="9"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true"/>
                    </pic:cNvPicPr>
                  </pic:nvPicPr>
                  <pic:blipFill>
                    <a:blip r:embed="rId13"/>
                    <a:stretch>
                      <a:fillRect/>
                    </a:stretch>
                  </pic:blipFill>
                  <pic:spPr>
                    <a:xfrm>
                      <a:off x="0" y="0"/>
                      <a:ext cx="5337175" cy="254698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560" w:firstLineChars="200"/>
        <w:textAlignment w:val="auto"/>
        <w:rPr>
          <w:rFonts w:hint="eastAsia" w:ascii="黑体" w:hAnsi="黑体" w:eastAsia="黑体" w:cs="黑体"/>
          <w:sz w:val="28"/>
          <w:szCs w:val="36"/>
          <w:lang w:val="en-US" w:eastAsia="zh-CN"/>
        </w:rPr>
      </w:pPr>
      <w:r>
        <w:rPr>
          <w:rFonts w:hint="eastAsia" w:ascii="黑体" w:hAnsi="黑体" w:eastAsia="黑体" w:cs="黑体"/>
          <w:sz w:val="28"/>
          <w:szCs w:val="36"/>
          <w:lang w:val="en-US" w:eastAsia="zh-CN"/>
        </w:rPr>
        <w:t>三、常见问题</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2"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问题1：申报用户找不到已提交的事项记录</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回答：如步骤二、步骤三所示，登录广东政务服务网（https://www.gdzwfw.gov.cn/）→选择“深圳市”“市工业和信息化局”→“办事记录”→“深圳市企业专属网页”，在这里可以查看用户申报的记录，以及申报被退回的原因、申报书打印下载的入口。</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2"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问题2：申报用户以个人身份登录导致无法申报</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回答：如步骤一在广东政务服务网（https://www.gdzwfw.gov.cn/）登录时要以法人身份登录方可申报，登陆方式有多种如下图所示：</w:t>
      </w:r>
    </w:p>
    <w:p>
      <w:pPr>
        <w:numPr>
          <w:ilvl w:val="0"/>
          <w:numId w:val="0"/>
        </w:numPr>
        <w:bidi w:val="0"/>
      </w:pPr>
      <w:r>
        <w:drawing>
          <wp:inline distT="0" distB="0" distL="114300" distR="114300">
            <wp:extent cx="5269230" cy="2534285"/>
            <wp:effectExtent l="0" t="0" r="7620" b="18415"/>
            <wp:docPr id="11"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true"/>
                    </pic:cNvPicPr>
                  </pic:nvPicPr>
                  <pic:blipFill>
                    <a:blip r:embed="rId14"/>
                    <a:stretch>
                      <a:fillRect/>
                    </a:stretch>
                  </pic:blipFill>
                  <pic:spPr>
                    <a:xfrm>
                      <a:off x="0" y="0"/>
                      <a:ext cx="5269230" cy="2534285"/>
                    </a:xfrm>
                    <a:prstGeom prst="rect">
                      <a:avLst/>
                    </a:prstGeom>
                    <a:noFill/>
                    <a:ln>
                      <a:noFill/>
                    </a:ln>
                  </pic:spPr>
                </pic:pic>
              </a:graphicData>
            </a:graphic>
          </wp:inline>
        </w:drawing>
      </w:r>
    </w:p>
    <w:p>
      <w:pPr>
        <w:numPr>
          <w:ilvl w:val="0"/>
          <w:numId w:val="0"/>
        </w:numPr>
        <w:bidi w:val="0"/>
      </w:pP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2"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问题3：申报用户找不到打印申请书的入口</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回答：如问题1，登录广东政务服务网（https://www.gdzwfw.gov.cn/）→</w:t>
      </w:r>
      <w:r>
        <w:rPr>
          <w:rFonts w:hint="eastAsia" w:ascii="仿宋_GB2312" w:hAnsi="仿宋_GB2312" w:eastAsia="仿宋_GB2312" w:cs="仿宋_GB2312"/>
          <w:sz w:val="32"/>
          <w:szCs w:val="32"/>
          <w:lang w:val="en-US" w:eastAsia="zh-CN"/>
        </w:rPr>
        <w:tab/>
      </w:r>
      <w:r>
        <w:rPr>
          <w:rFonts w:hint="eastAsia" w:ascii="仿宋_GB2312" w:hAnsi="仿宋_GB2312" w:eastAsia="仿宋_GB2312" w:cs="仿宋_GB2312"/>
          <w:sz w:val="32"/>
          <w:szCs w:val="32"/>
          <w:lang w:val="en-US" w:eastAsia="zh-CN"/>
        </w:rPr>
        <w:t>选择“深圳市”“市工业和信息化局”→“办事记录”，进入到“深圳市企业专属网页”，在“深圳市企业专属网页”点击“办事记录”后会显示当前用户所有事项记录，在对应的事项记录点击“业务详情”，选择“表单信息”，再点击右上角的“打印”，即可对下载所填报申请书。</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2"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问题4：审核状态查看</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登录广东政务服务网（https://www.gdzwfw.gov.cn/）→选择“深圳市”“市工业和信息化局”→“办事记录”，进入到“深圳市企业专属网页”，在“深圳市企业专属网页”点击“办事记录”后会显示当前用户所有事项记录，列表中的状态即为当前审核状态，可尝试点击列表中的绿色刷新按钮手工刷新。</w:t>
      </w:r>
    </w:p>
    <w:p>
      <w:pPr>
        <w:numPr>
          <w:ilvl w:val="0"/>
          <w:numId w:val="0"/>
        </w:numPr>
        <w:bidi w:val="0"/>
        <w:ind w:firstLine="420" w:firstLineChars="0"/>
        <w:rPr>
          <w:rFonts w:hint="default"/>
          <w:b/>
          <w:bCs/>
          <w:sz w:val="32"/>
          <w:szCs w:val="32"/>
          <w:lang w:val="en-US" w:eastAsia="zh-CN"/>
        </w:rPr>
      </w:pPr>
    </w:p>
    <w:p>
      <w:pPr>
        <w:numPr>
          <w:ilvl w:val="0"/>
          <w:numId w:val="0"/>
        </w:numPr>
        <w:bidi w:val="0"/>
        <w:ind w:firstLine="420" w:firstLineChars="0"/>
        <w:rPr>
          <w:rFonts w:hint="default"/>
          <w:lang w:val="en-US" w:eastAsia="zh-CN"/>
        </w:rPr>
      </w:pPr>
      <w:r>
        <w:drawing>
          <wp:inline distT="0" distB="0" distL="114300" distR="114300">
            <wp:extent cx="5260975" cy="2994660"/>
            <wp:effectExtent l="0" t="0" r="15875" b="15240"/>
            <wp:docPr id="1"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true"/>
                    </pic:cNvPicPr>
                  </pic:nvPicPr>
                  <pic:blipFill>
                    <a:blip r:embed="rId15"/>
                    <a:stretch>
                      <a:fillRect/>
                    </a:stretch>
                  </pic:blipFill>
                  <pic:spPr>
                    <a:xfrm>
                      <a:off x="0" y="0"/>
                      <a:ext cx="5260975" cy="2994660"/>
                    </a:xfrm>
                    <a:prstGeom prst="rect">
                      <a:avLst/>
                    </a:prstGeom>
                    <a:noFill/>
                    <a:ln>
                      <a:noFill/>
                    </a:ln>
                  </pic:spPr>
                </pic:pic>
              </a:graphicData>
            </a:graphic>
          </wp:inline>
        </w:drawing>
      </w:r>
    </w:p>
    <w:sectPr>
      <w:footerReference r:id="rId3" w:type="default"/>
      <w:pgSz w:w="11906" w:h="16838"/>
      <w:pgMar w:top="1440" w:right="1440" w:bottom="144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panose1 w:val="03000509000000000000"/>
    <w:charset w:val="86"/>
    <w:family w:val="auto"/>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WAAAAZHJzL1BLAQIUABQAAAAI&#10;AIdO4kCzSVju0AAAAAUBAAAPAAAAAAAAAAEAIAAAADgAAABkcnMvZG93bnJldi54bWxQSwECFAAU&#10;AAAACACHTuJAFsIeAxwCAAArBAAADgAAAAAAAAABACAAAAA1AQAAZHJzL2Uyb0RvYy54bWxQSwUG&#10;AAAAAAYABgBZAQAAwwU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true"/>
  <w:bordersDoNotSurroundFooter w:val="true"/>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A4ZTQxZWQyNTU4YjAyYzJjNzJkZTU1M2FiZmFmNTkifQ=="/>
  </w:docVars>
  <w:rsids>
    <w:rsidRoot w:val="00000000"/>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31F4336F"/>
    <w:rsid w:val="37C31D74"/>
    <w:rsid w:val="38012C35"/>
    <w:rsid w:val="385C0A66"/>
    <w:rsid w:val="441E11AD"/>
    <w:rsid w:val="46A71700"/>
    <w:rsid w:val="49C92FBB"/>
    <w:rsid w:val="4CF71542"/>
    <w:rsid w:val="4E9022A1"/>
    <w:rsid w:val="4F437CD1"/>
    <w:rsid w:val="55B57DB1"/>
    <w:rsid w:val="57987720"/>
    <w:rsid w:val="5CDF79EE"/>
    <w:rsid w:val="5FB7C3BB"/>
    <w:rsid w:val="656A49A9"/>
    <w:rsid w:val="677E656C"/>
    <w:rsid w:val="69240DCF"/>
    <w:rsid w:val="69BD2EB5"/>
    <w:rsid w:val="6A5D2190"/>
    <w:rsid w:val="6F770CC9"/>
    <w:rsid w:val="6FE37C4F"/>
    <w:rsid w:val="71994261"/>
    <w:rsid w:val="7424561B"/>
    <w:rsid w:val="75B619DA"/>
    <w:rsid w:val="76477DA7"/>
    <w:rsid w:val="79AB3FAC"/>
    <w:rsid w:val="79D90D95"/>
    <w:rsid w:val="7C0E227B"/>
    <w:rsid w:val="7C6A03D6"/>
    <w:rsid w:val="7D6C2781"/>
    <w:rsid w:val="7EFF957F"/>
    <w:rsid w:val="7FEF815D"/>
    <w:rsid w:val="BCBFCA46"/>
    <w:rsid w:val="F7F3D0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Pages>
  <Words>1127</Words>
  <Characters>1291</Characters>
  <Lines>0</Lines>
  <Paragraphs>0</Paragraphs>
  <TotalTime>8</TotalTime>
  <ScaleCrop>false</ScaleCrop>
  <LinksUpToDate>false</LinksUpToDate>
  <CharactersWithSpaces>1332</CharactersWithSpaces>
  <Application>WPS Office_11.8.2.10337_F1E327BC-269C-435d-A152-05C5408002CA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2023-06-16T01:45:00Z</dcterms:created>
  <dc:creator>User</dc:creator>
  <cp:lastModifiedBy>qiutt</cp:lastModifiedBy>
  <dcterms:modified xsi:type="dcterms:W3CDTF">2023-07-05T14:15:59Z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2052-11.8.2.10337</vt:lpwstr>
  </property>
  <property fmtid="{D5CDD505-2E9C-101B-9397-08002B2CF9AE}" pid="3" name="ICV">
    <vt:lpwstr>802B484C86D04F38BE48EAB33021F49D_13</vt:lpwstr>
  </property>
</Properties>
</file>