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/>
          <w:lang w:val="en-US" w:eastAsia="zh-CN"/>
        </w:rPr>
      </w:pPr>
      <w:bookmarkStart w:id="0" w:name="_GoBack"/>
      <w:bookmarkEnd w:id="0"/>
      <w:r>
        <w:rPr>
          <w:rFonts w:hint="eastAsia" w:ascii="仿宋_GB2312"/>
          <w:lang w:eastAsia="zh-CN"/>
        </w:rPr>
        <w:t>附件</w:t>
      </w:r>
      <w:r>
        <w:rPr>
          <w:rFonts w:hint="eastAsia" w:ascii="仿宋_GB231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646B1924"/>
    <w:rsid w:val="E5FDE77D"/>
    <w:rsid w:val="F3DFDC63"/>
    <w:rsid w:val="F58A0A95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2019-09-28T18:58:00Z</dcterms:created>
  <dc:creator>钟相明</dc:creator>
  <cp:lastModifiedBy>pszx</cp:lastModifiedBy>
  <dcterms:modified xsi:type="dcterms:W3CDTF">2023-08-07T14:41:47Z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18FB9A41A6CD450695708DD1CCC5A060</vt:lpwstr>
  </property>
</Properties>
</file>