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highlight w:val="none"/>
          <w:lang w:val="en-US"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促进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文化产业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发展的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若干措施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/>
        <w:ind w:firstLine="0" w:firstLineChars="0"/>
        <w:jc w:val="center"/>
        <w:textAlignment w:val="baseline"/>
        <w:rPr>
          <w:rFonts w:hint="eastAsia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eastAsia="仿宋_GB2312"/>
          <w:sz w:val="36"/>
          <w:szCs w:val="36"/>
          <w:highlight w:val="none"/>
          <w:lang w:val="en-US" w:eastAsia="zh-CN"/>
        </w:rPr>
        <w:t>（</w:t>
      </w:r>
      <w:r>
        <w:rPr>
          <w:rFonts w:hint="eastAsia"/>
          <w:sz w:val="36"/>
          <w:szCs w:val="36"/>
          <w:highlight w:val="none"/>
          <w:lang w:val="en-US" w:eastAsia="zh-CN"/>
        </w:rPr>
        <w:t>征求意见稿</w:t>
      </w:r>
      <w:r>
        <w:rPr>
          <w:rFonts w:hint="eastAsia" w:ascii="Times New Roman" w:eastAsia="仿宋_GB2312"/>
          <w:sz w:val="36"/>
          <w:szCs w:val="36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黑体" w:hAnsi="黑体" w:eastAsia="黑体" w:cs="黑体"/>
          <w:bCs/>
          <w:snapToGrid w:val="0"/>
          <w:color w:val="000000" w:themeColor="text1"/>
          <w:spacing w:val="-4"/>
          <w:kern w:val="44"/>
          <w:positio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spacing w:val="-4"/>
          <w:kern w:val="44"/>
          <w:positio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第一章 总则</w:t>
      </w:r>
    </w:p>
    <w:p>
      <w:pPr>
        <w:bidi w:val="0"/>
        <w:spacing w:beforeLines="0" w:afterLines="0"/>
        <w:rPr>
          <w:rFonts w:hint="eastAsia" w:eastAsia="仿宋_GB231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为抓住中国特色社会主义先行示范区和粤港澳大湾区建设重大机遇，</w:t>
      </w:r>
      <w:r>
        <w:rPr>
          <w:highlight w:val="none"/>
        </w:rPr>
        <w:t>进一步优化我</w:t>
      </w:r>
      <w:r>
        <w:rPr>
          <w:rFonts w:hint="eastAsia" w:ascii="Times New Roman" w:eastAsia="仿宋_GB2312"/>
          <w:highlight w:val="none"/>
          <w:lang w:val="en-US" w:eastAsia="zh-CN"/>
        </w:rPr>
        <w:t>区</w:t>
      </w:r>
      <w:r>
        <w:rPr>
          <w:highlight w:val="none"/>
        </w:rPr>
        <w:t>文化产业发展环境，促进文化产业高质量发展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/>
          <w:color w:val="000000"/>
          <w:sz w:val="32"/>
          <w:szCs w:val="32"/>
          <w:highlight w:val="none"/>
          <w:lang w:val="en-US" w:eastAsia="zh-CN"/>
        </w:rPr>
        <w:t>根据《光明区经济发展专项资金管理办法》，结合光明区实际，</w:t>
      </w:r>
      <w:r>
        <w:rPr>
          <w:highlight w:val="none"/>
        </w:rPr>
        <w:t>制定</w:t>
      </w:r>
      <w:r>
        <w:rPr>
          <w:rFonts w:hint="eastAsia" w:ascii="Times New Roman" w:eastAsia="仿宋_GB2312"/>
          <w:highlight w:val="none"/>
          <w:lang w:val="en-US" w:eastAsia="zh-CN"/>
        </w:rPr>
        <w:t>本措施</w:t>
      </w:r>
      <w:r>
        <w:rPr>
          <w:rFonts w:hint="eastAsia" w:eastAsia="仿宋_GB2312"/>
          <w:highlight w:val="none"/>
          <w:lang w:eastAsia="zh-CN"/>
        </w:rPr>
        <w:t>。</w:t>
      </w:r>
    </w:p>
    <w:p>
      <w:pPr>
        <w:bidi w:val="0"/>
        <w:spacing w:beforeLines="0" w:afterLines="0"/>
        <w:rPr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Times New Roman" w:eastAsia="仿宋_GB2312"/>
          <w:highlight w:val="none"/>
          <w:lang w:val="en-US" w:eastAsia="zh-CN"/>
        </w:rPr>
        <w:t xml:space="preserve"> 本措施适用于在光明区辖区内依法经营，具有独立法人资格并从事</w:t>
      </w:r>
      <w:r>
        <w:rPr>
          <w:rFonts w:hint="eastAsia"/>
          <w:highlight w:val="none"/>
          <w:lang w:val="en-US" w:eastAsia="zh-CN"/>
        </w:rPr>
        <w:t>文化</w:t>
      </w:r>
      <w:r>
        <w:rPr>
          <w:rFonts w:hint="eastAsia" w:ascii="Times New Roman" w:eastAsia="仿宋_GB2312"/>
          <w:highlight w:val="none"/>
          <w:lang w:val="en-US" w:eastAsia="zh-CN"/>
        </w:rPr>
        <w:t>及相关产业的企业、社会组织</w:t>
      </w:r>
      <w:r>
        <w:rPr>
          <w:highlight w:val="none"/>
        </w:rPr>
        <w:t>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宋体" w:hAnsi="宋体" w:eastAsia="楷体_GB2312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第二章 鼓励企业做大做强</w:t>
      </w:r>
    </w:p>
    <w:p>
      <w:pPr>
        <w:bidi w:val="0"/>
        <w:spacing w:beforeLines="0" w:afterLines="0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第三条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对首次获</w:t>
      </w:r>
      <w:r>
        <w:rPr>
          <w:rFonts w:hint="eastAsia" w:ascii="仿宋_GB2312" w:hAnsi="仿宋_GB2312" w:cs="仿宋_GB2312"/>
          <w:highlight w:val="none"/>
          <w:lang w:val="en-US" w:eastAsia="zh-CN"/>
        </w:rPr>
        <w:t>评为“深圳文化企业100强”的，给予20万元奖励。</w:t>
      </w:r>
    </w:p>
    <w:p>
      <w:pPr>
        <w:bidi w:val="0"/>
        <w:spacing w:beforeLines="0" w:afterLines="0"/>
        <w:rPr>
          <w:rFonts w:hint="default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第四条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highlight w:val="none"/>
          <w:lang w:val="en-US" w:eastAsia="zh-CN"/>
        </w:rPr>
        <w:t>对上年度获评为深圳市优秀新型文化业态单位的，给予20万元奖励。</w:t>
      </w:r>
    </w:p>
    <w:p>
      <w:pPr>
        <w:bidi w:val="0"/>
        <w:spacing w:beforeLines="0" w:afterLines="0"/>
        <w:rPr>
          <w:rFonts w:hint="eastAsia" w:ascii="Times New Roman" w:eastAsia="仿宋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第五条</w:t>
      </w:r>
      <w:r>
        <w:rPr>
          <w:rFonts w:hint="eastAsia" w:ascii="Times New Roman" w:eastAsia="仿宋_GB231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highlight w:val="none"/>
          <w:lang w:val="en-US" w:eastAsia="zh-CN"/>
        </w:rPr>
        <w:t>对上年度获评为国家级、省级、市级文化出口重点基地的，分别给予100万元、50万元、30万元奖励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。</w:t>
      </w:r>
    </w:p>
    <w:p>
      <w:pPr>
        <w:bidi w:val="0"/>
        <w:spacing w:beforeLines="0" w:afterLines="0"/>
        <w:rPr>
          <w:rFonts w:hint="eastAsia" w:ascii="Times New Roman" w:eastAsia="仿宋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第六条</w:t>
      </w:r>
      <w:r>
        <w:rPr>
          <w:rFonts w:hint="eastAsia" w:ascii="Times New Roman" w:eastAsia="仿宋_GB231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highlight w:val="none"/>
          <w:lang w:val="en-US" w:eastAsia="zh-CN"/>
        </w:rPr>
        <w:t>对上年度获评为国家级、省级、市级文化出口重点企业或重点项目的，分别给予50万元、30万元、20万元奖励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。</w:t>
      </w:r>
    </w:p>
    <w:p>
      <w:pPr>
        <w:bidi w:val="0"/>
        <w:spacing w:beforeLines="0" w:afterLines="0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第七条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highlight w:val="none"/>
          <w:lang w:val="en-US" w:eastAsia="zh-CN"/>
        </w:rPr>
        <w:t>对首次纳入光明区规模以上文化、体育和娱乐业统计的文化企业给予10万元奖励。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宋体" w:hAnsi="宋体" w:eastAsia="楷体_GB2312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第三章 推动产业集聚发展</w:t>
      </w:r>
    </w:p>
    <w:p>
      <w:pPr>
        <w:bidi w:val="0"/>
        <w:spacing w:beforeLines="0" w:afterLines="0"/>
        <w:rPr>
          <w:rFonts w:hint="default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第八条</w:t>
      </w:r>
      <w:r>
        <w:rPr>
          <w:rFonts w:hint="eastAsia"/>
          <w:highlight w:val="none"/>
          <w:lang w:val="en-US" w:eastAsia="zh-CN"/>
        </w:rPr>
        <w:t xml:space="preserve"> 支持文化产业集聚发展，鼓励创建文化产业（示范）园区（基地）。相关扶持措施参照《深圳市光明区文化产业园区认定与管理办法》执行。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eastAsia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第四章 支持文化市场拓展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支持参加国内外重要文旅展会</w:t>
      </w:r>
      <w:r>
        <w:rPr>
          <w:rFonts w:hint="eastAsia" w:ascii="仿宋_GB2312" w:hAnsi="仿宋_GB2312" w:cs="仿宋_GB2312"/>
          <w:b w:val="0"/>
          <w:bCs w:val="0"/>
          <w:highlight w:val="none"/>
          <w:lang w:val="en-US" w:eastAsia="zh-CN"/>
        </w:rPr>
        <w:t>。对参加国内外重要文旅展会的单位，按实际参展费用50%给予资助。国内展会每项最高资助10万元，国外展会每项最高资助20万元，每家单位每年累计资助最高100万元。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第</w:t>
      </w:r>
      <w:r>
        <w:rPr>
          <w:rFonts w:hint="eastAsia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>十</w:t>
      </w:r>
      <w:r>
        <w:rPr>
          <w:rFonts w:hint="default" w:ascii="Times New Roman" w:hAnsi="Times New Roman" w:eastAsia="楷体_GB2312" w:cs="Times New Roman"/>
          <w:b w:val="0"/>
          <w:bCs w:val="0"/>
          <w:highlight w:val="none"/>
          <w:lang w:val="en-US" w:eastAsia="zh-CN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鼓励参与中国（深圳）国际文化产业博览交易会（以下简称文博会）。举办经文博会组委会办公室认定的分会场、配套活动，按实际发生费用50%分别给予最高100万元、50万元资助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获评为市优秀分会场的单位，按照深圳市奖励金额的50%予以配套奖励。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highlight w:val="none"/>
          <w:lang w:val="en-US" w:eastAsia="zh-CN"/>
        </w:rPr>
        <w:t>第十一条</w:t>
      </w:r>
      <w:r>
        <w:rPr>
          <w:rFonts w:hint="eastAsia" w:ascii="Times New Roman" w:eastAsia="仿宋_GB2312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支持举办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特色文化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产业活动。在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光明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区主办或承办具有国内外重大影响力的音乐节、艺术节、博览会、交易会、展览、演出、赛事、评选、论坛、峰会等文化活动项目，经评审认定，按项目实际发生费用的50%给予最高50万元资助。每家单位每年最高资助250万元，已享受其他财政补贴的，给予差额补贴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eastAsia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第五章 支持实体书店发展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highlight w:val="none"/>
          <w:lang w:val="en-US" w:eastAsia="zh-CN"/>
        </w:rPr>
        <w:t>第十二条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支持社会力量建设实体书店。对在光明区内运营满1年、营业面积在50平方米（含）以上的实体书店，给予每月每平方米40元、每年最高100万元的房租补贴。每家书店最多支持三年。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宋体" w:hAnsi="宋体" w:eastAsia="楷体_GB2312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第六章 支持艺术品行业发展</w:t>
      </w:r>
    </w:p>
    <w:p>
      <w:pPr>
        <w:bidi w:val="0"/>
        <w:spacing w:beforeLines="0" w:afterLines="0"/>
        <w:rPr>
          <w:rFonts w:hint="eastAsia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highlight w:val="none"/>
          <w:lang w:val="en-US" w:eastAsia="zh-CN"/>
        </w:rPr>
        <w:t>第十三条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highlight w:val="none"/>
          <w:lang w:val="en-US" w:eastAsia="zh-CN"/>
        </w:rPr>
        <w:t>支持艺术品拍卖场所建设。对上一年度建设经区政府认可的艺术品拍卖场所，按照其租金、装修费用及设备购置费等实际投入的30%，给予最高不超过300万元的一次性补贴。</w:t>
      </w:r>
    </w:p>
    <w:p>
      <w:pPr>
        <w:bidi w:val="0"/>
        <w:spacing w:beforeLines="0" w:afterLines="0"/>
        <w:rPr>
          <w:rFonts w:hint="default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highlight w:val="none"/>
          <w:lang w:val="en-US" w:eastAsia="zh-CN"/>
        </w:rPr>
        <w:t xml:space="preserve">第十四条 </w:t>
      </w:r>
      <w:r>
        <w:rPr>
          <w:rFonts w:hint="eastAsia" w:ascii="仿宋_GB2312" w:hAnsi="仿宋_GB2312" w:cs="仿宋_GB2312"/>
          <w:highlight w:val="none"/>
          <w:lang w:val="en-US" w:eastAsia="zh-CN"/>
        </w:rPr>
        <w:t>支持艺术品线上交易平台建设。对上一年度建成，且经备案的网上艺术品交易平台，给予其租金、装修费用、设备购置费用等实际投入的30%，一般不超过200万元的一次性支持。</w:t>
      </w:r>
    </w:p>
    <w:p>
      <w:pPr>
        <w:bidi w:val="0"/>
        <w:spacing w:beforeLines="0" w:afterLines="0"/>
        <w:rPr>
          <w:rFonts w:hint="eastAsia" w:ascii="Times New Roman" w:eastAsia="仿宋_GB2312"/>
          <w:color w:val="auto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highlight w:val="none"/>
          <w:lang w:val="en-US" w:eastAsia="zh-CN"/>
        </w:rPr>
        <w:t xml:space="preserve">第十五条 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支持艺术品拍卖活动举办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市内外拍卖机构在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光明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举办经备案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艺术品拍卖活动，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按实际投入的50%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给予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最高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不超过30万元的一次性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Cs/>
          <w:snapToGrid w:val="0"/>
          <w:color w:val="000000" w:themeColor="text1"/>
          <w:kern w:val="44"/>
          <w:sz w:val="32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第七章 支持数字文化产业发展</w:t>
      </w:r>
    </w:p>
    <w:p>
      <w:pPr>
        <w:bidi w:val="0"/>
        <w:spacing w:beforeLines="0" w:afterLines="0"/>
        <w:rPr>
          <w:rFonts w:hint="eastAsia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第十六条</w:t>
      </w:r>
      <w:r>
        <w:rPr>
          <w:rFonts w:hint="eastAsia" w:ascii="Times New Roman" w:eastAsia="仿宋_GB2312"/>
          <w:b w:val="0"/>
          <w:bCs w:val="0"/>
          <w:highlight w:val="none"/>
          <w:lang w:val="en-US" w:eastAsia="zh-CN"/>
        </w:rPr>
        <w:t xml:space="preserve"> 支持数字文化技术创新</w:t>
      </w:r>
      <w:r>
        <w:rPr>
          <w:rFonts w:hint="eastAsia"/>
          <w:highlight w:val="none"/>
        </w:rPr>
        <w:t>。鼓励企业开发无人智能游览、沉浸式、</w:t>
      </w:r>
      <w:r>
        <w:rPr>
          <w:rFonts w:hint="eastAsia" w:ascii="仿宋_GB2312" w:hAnsi="仿宋_GB2312" w:cs="仿宋_GB2312"/>
          <w:highlight w:val="none"/>
        </w:rPr>
        <w:t>数字展陈、网络演艺及其他可视化、互动式、智能化、线上线下等软件解决方案，开展技术服务</w:t>
      </w:r>
      <w:r>
        <w:rPr>
          <w:rFonts w:hint="eastAsia" w:ascii="仿宋_GB2312" w:hAnsi="仿宋_GB2312" w:cs="仿宋_GB2312"/>
          <w:highlight w:val="none"/>
          <w:lang w:eastAsia="zh-CN"/>
        </w:rPr>
        <w:t>。</w:t>
      </w:r>
      <w:r>
        <w:rPr>
          <w:rFonts w:hint="eastAsia" w:ascii="仿宋_GB2312" w:hAnsi="仿宋_GB2312" w:cs="仿宋_GB2312"/>
          <w:highlight w:val="none"/>
        </w:rPr>
        <w:t>对上年度纳统营业收入总额达到2000万元以上的，按其上年度对应业务收入的5%给予一次性奖励，每家企业每年最高100万元。</w:t>
      </w:r>
    </w:p>
    <w:p>
      <w:pPr>
        <w:bidi w:val="0"/>
        <w:spacing w:beforeLines="0" w:afterLines="0"/>
        <w:rPr>
          <w:rFonts w:hint="eastAsia" w:ascii="仿宋_GB2312" w:hAnsi="仿宋_GB2312" w:cs="仿宋_GB231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 xml:space="preserve">第十七条 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  <w:t>支持数字文化装备创新</w:t>
      </w:r>
      <w:r>
        <w:rPr>
          <w:rFonts w:hint="eastAsia" w:ascii="仿宋_GB2312" w:hAnsi="仿宋_GB2312" w:cs="仿宋_GB2312"/>
          <w:b w:val="0"/>
          <w:bCs w:val="0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highlight w:val="none"/>
        </w:rPr>
        <w:t>鼓励企业应用物联网、车联网、工业互联网、人工智能、AR、VR、5G+4K/8K超高清等技术，研发制造</w:t>
      </w:r>
      <w:r>
        <w:rPr>
          <w:rFonts w:hint="eastAsia" w:ascii="仿宋_GB2312" w:hAnsi="仿宋_GB2312" w:cs="仿宋_GB2312"/>
          <w:highlight w:val="none"/>
          <w:lang w:val="en-US" w:eastAsia="zh-CN"/>
        </w:rPr>
        <w:t>娱乐</w:t>
      </w:r>
      <w:r>
        <w:rPr>
          <w:rFonts w:hint="eastAsia" w:ascii="仿宋_GB2312" w:hAnsi="仿宋_GB2312" w:cs="仿宋_GB2312"/>
          <w:highlight w:val="none"/>
        </w:rPr>
        <w:t>VR</w:t>
      </w:r>
      <w:r>
        <w:rPr>
          <w:rFonts w:hint="eastAsia" w:ascii="仿宋_GB2312" w:hAnsi="仿宋_GB2312" w:cs="仿宋_GB2312"/>
          <w:highlight w:val="none"/>
          <w:lang w:val="en-US" w:eastAsia="zh-CN"/>
        </w:rPr>
        <w:t>终端</w:t>
      </w:r>
      <w:r>
        <w:rPr>
          <w:rFonts w:hint="eastAsia" w:ascii="仿宋_GB2312" w:hAnsi="仿宋_GB2312" w:cs="仿宋_GB2312"/>
          <w:highlight w:val="none"/>
        </w:rPr>
        <w:t>、可穿戴设备、内容采集制作与传输设备、智能终端、超高清</w:t>
      </w:r>
      <w:r>
        <w:rPr>
          <w:rFonts w:hint="eastAsia" w:ascii="仿宋_GB2312" w:hAnsi="仿宋_GB2312" w:cs="仿宋_GB2312"/>
          <w:highlight w:val="none"/>
          <w:lang w:val="en-US" w:eastAsia="zh-CN"/>
        </w:rPr>
        <w:t>视频</w:t>
      </w:r>
      <w:r>
        <w:rPr>
          <w:rFonts w:hint="eastAsia" w:ascii="仿宋_GB2312" w:hAnsi="仿宋_GB2312" w:cs="仿宋_GB2312"/>
          <w:highlight w:val="none"/>
        </w:rPr>
        <w:t>显示等新型数字文化装备产品，创新成果实现产业化，对上年度纳统营业收入总额达到2000万元以上的，按项目实际研发投入的50%给予一次性资助，最高100万元。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第十八条</w:t>
      </w:r>
      <w:r>
        <w:rPr>
          <w:rFonts w:hint="eastAsia" w:ascii="Times New Roman" w:eastAsia="仿宋_GB2312"/>
          <w:highlight w:val="none"/>
          <w:lang w:val="en-US" w:eastAsia="zh-CN"/>
        </w:rPr>
        <w:t xml:space="preserve"> 支持优秀文化资源数字化</w:t>
      </w:r>
      <w:r>
        <w:rPr>
          <w:rFonts w:hint="eastAsia"/>
          <w:highlight w:val="none"/>
          <w:lang w:val="en-US" w:eastAsia="zh-CN"/>
        </w:rPr>
        <w:t>转化与开发</w:t>
      </w:r>
      <w:r>
        <w:rPr>
          <w:rFonts w:hint="eastAsia" w:ascii="Times New Roman" w:eastAsia="仿宋_GB2312"/>
          <w:highlight w:val="none"/>
          <w:lang w:val="en-US" w:eastAsia="zh-CN"/>
        </w:rPr>
        <w:t>。对经授权将本区文化馆（博物馆、文化馆、美术馆）馆藏资源、非物质文化遗产进行</w:t>
      </w:r>
      <w:r>
        <w:rPr>
          <w:rFonts w:hint="eastAsia"/>
          <w:highlight w:val="none"/>
          <w:lang w:val="en-US" w:eastAsia="zh-CN"/>
        </w:rPr>
        <w:t>文艺创作和文创设计</w:t>
      </w:r>
      <w:r>
        <w:rPr>
          <w:rFonts w:hint="eastAsia" w:ascii="Times New Roman" w:eastAsia="仿宋_GB2312"/>
          <w:highlight w:val="none"/>
          <w:lang w:val="en-US" w:eastAsia="zh-CN"/>
        </w:rPr>
        <w:t>，开发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具有鲜明区域特点和民族特色的数字文化产品</w:t>
      </w:r>
      <w:r>
        <w:rPr>
          <w:rFonts w:hint="eastAsia" w:ascii="仿宋_GB2312" w:hAnsi="仿宋_GB2312" w:cs="仿宋_GB231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且上年度纳统营业收入总额达到500万元以上的企业，按项目实际总投资额的50%给予一次性资助，最高50万元</w:t>
      </w:r>
      <w:r>
        <w:rPr>
          <w:rFonts w:hint="eastAsia" w:ascii="仿宋_GB2312" w:hAnsi="仿宋_GB2312" w:cs="仿宋_GB2312"/>
          <w:highlight w:val="none"/>
          <w:lang w:val="en-US" w:eastAsia="zh-CN"/>
        </w:rPr>
        <w:t>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eastAsia" w:ascii="黑体" w:hAnsi="黑体" w:eastAsia="黑体" w:cs="黑体"/>
          <w:bCs/>
          <w:snapToGrid w:val="0"/>
          <w:color w:val="000000" w:themeColor="text1"/>
          <w:kern w:val="44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spacing w:val="-5"/>
          <w:kern w:val="44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第八章 </w:t>
      </w:r>
      <w:r>
        <w:rPr>
          <w:rFonts w:hint="eastAsia" w:ascii="黑体" w:hAnsi="黑体" w:eastAsia="黑体" w:cs="黑体"/>
          <w:bCs/>
          <w:snapToGrid w:val="0"/>
          <w:color w:val="000000" w:themeColor="text1"/>
          <w:spacing w:val="-3"/>
          <w:kern w:val="44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附则</w:t>
      </w:r>
    </w:p>
    <w:p>
      <w:pPr>
        <w:bidi w:val="0"/>
        <w:spacing w:beforeLines="0" w:afterLines="0"/>
        <w:rPr>
          <w:rFonts w:hint="eastAsia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第十九条</w:t>
      </w:r>
      <w:r>
        <w:rPr>
          <w:rFonts w:hint="eastAsia" w:ascii="Times New Roman" w:eastAsia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本措施与光明区其他同类优惠措施，由企业自主选择申报，不重复资助。</w:t>
      </w:r>
    </w:p>
    <w:p>
      <w:pPr>
        <w:bidi w:val="0"/>
        <w:spacing w:beforeLines="0" w:afterLines="0"/>
        <w:rPr>
          <w:highlight w:val="none"/>
        </w:rPr>
      </w:pPr>
      <w:r>
        <w:rPr>
          <w:rFonts w:hint="eastAsia" w:ascii="楷体_GB2312" w:hAnsi="楷体_GB2312" w:eastAsia="楷体_GB2312" w:cs="楷体_GB2312"/>
          <w:highlight w:val="none"/>
          <w:lang w:val="en-US" w:eastAsia="zh-CN"/>
        </w:rPr>
        <w:t>第二十条</w:t>
      </w:r>
      <w:r>
        <w:rPr>
          <w:rFonts w:hint="eastAsia" w:ascii="Times New Roman" w:eastAsia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本措施的资助与奖励资金在光明区经济发展专项资金中列支。</w:t>
      </w:r>
    </w:p>
    <w:p>
      <w:pPr>
        <w:bidi w:val="0"/>
        <w:spacing w:beforeLines="0" w:afterLines="0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highlight w:val="none"/>
          <w:lang w:val="en-US" w:eastAsia="zh-CN"/>
        </w:rPr>
        <w:t>第二十一条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highlight w:val="none"/>
          <w:lang w:val="en-US" w:eastAsia="zh-CN"/>
        </w:rPr>
        <w:t>本措施自</w:t>
      </w:r>
      <w:bookmarkStart w:id="0" w:name="_GoBack"/>
      <w:r>
        <w:rPr>
          <w:rFonts w:hint="eastAsia" w:ascii="仿宋_GB2312" w:hAnsi="仿宋_GB2312" w:cs="仿宋_GB2312"/>
          <w:highlight w:val="none"/>
          <w:lang w:val="en-US" w:eastAsia="zh-CN"/>
        </w:rPr>
        <w:t>XXXX年XX月XX日</w:t>
      </w:r>
      <w:bookmarkEnd w:id="0"/>
      <w:r>
        <w:rPr>
          <w:rFonts w:hint="eastAsia" w:ascii="仿宋_GB2312" w:hAnsi="仿宋_GB2312" w:cs="仿宋_GB2312"/>
          <w:highlight w:val="none"/>
          <w:lang w:val="en-US" w:eastAsia="zh-CN"/>
        </w:rPr>
        <w:t>起施行，有效期3年。由深圳市光明区文化广电旅游体育局负责解释</w:t>
      </w:r>
      <w:r>
        <w:rPr>
          <w:rFonts w:hint="eastAsia" w:ascii="仿宋_GB2312" w:hAnsi="仿宋_GB2312" w:cs="仿宋_GB2312"/>
          <w:highlight w:val="none"/>
        </w:rPr>
        <w:t>。</w:t>
      </w:r>
    </w:p>
    <w:p>
      <w:pPr>
        <w:spacing w:beforeLines="0" w:afterLines="0"/>
        <w:rPr>
          <w:rFonts w:hint="eastAsia" w:ascii="仿宋_GB2312" w:hAnsi="仿宋_GB2312" w:cs="仿宋_GB2312"/>
          <w:highlight w:val="none"/>
        </w:rPr>
      </w:pPr>
    </w:p>
    <w:p>
      <w:pPr>
        <w:spacing w:beforeLines="0" w:afterLines="0"/>
        <w:rPr>
          <w:rFonts w:hint="default"/>
          <w:highlight w:val="none"/>
          <w:lang w:val="en-US" w:eastAsia="zh-CN"/>
        </w:rPr>
      </w:pPr>
    </w:p>
    <w:sectPr>
      <w:footerReference r:id="rId5" w:type="default"/>
      <w:pgSz w:w="11906" w:h="16839"/>
      <w:pgMar w:top="2098" w:right="1474" w:bottom="1984" w:left="1587" w:header="850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143FC1-311A-4E06-9585-C0FB982F57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BA1F8F-B8FC-41EA-B76D-2C274C5EDB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33C56F-E3E1-48A5-8A32-E9E80CA1302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299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</w:p>
  </w:footnote>
  <w:footnote w:type="continuationSeparator" w:id="1">
    <w:p>
      <w:pPr>
        <w:spacing w:line="240" w:lineRule="auto"/>
        <w:ind w:firstLine="64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WIwMTg0MThlZmVkM2U2YzRhZTVlYzY4N2Y5ZGMifQ=="/>
  </w:docVars>
  <w:rsids>
    <w:rsidRoot w:val="345A321C"/>
    <w:rsid w:val="00656641"/>
    <w:rsid w:val="01277748"/>
    <w:rsid w:val="01E84A30"/>
    <w:rsid w:val="02A91DA6"/>
    <w:rsid w:val="030D4AC8"/>
    <w:rsid w:val="0321400D"/>
    <w:rsid w:val="03496B61"/>
    <w:rsid w:val="05C1367C"/>
    <w:rsid w:val="064E126A"/>
    <w:rsid w:val="06506E5A"/>
    <w:rsid w:val="0CBF6838"/>
    <w:rsid w:val="14883E57"/>
    <w:rsid w:val="15247267"/>
    <w:rsid w:val="1722157F"/>
    <w:rsid w:val="17F23A82"/>
    <w:rsid w:val="187410C9"/>
    <w:rsid w:val="194C4CA0"/>
    <w:rsid w:val="19CD1E14"/>
    <w:rsid w:val="1B1749E9"/>
    <w:rsid w:val="1C0F3C96"/>
    <w:rsid w:val="1C947772"/>
    <w:rsid w:val="1D185750"/>
    <w:rsid w:val="1E7C4D29"/>
    <w:rsid w:val="1EC37822"/>
    <w:rsid w:val="1F951D22"/>
    <w:rsid w:val="1FAB46F7"/>
    <w:rsid w:val="20837D28"/>
    <w:rsid w:val="217D437D"/>
    <w:rsid w:val="22311C64"/>
    <w:rsid w:val="22CA041E"/>
    <w:rsid w:val="237138FF"/>
    <w:rsid w:val="23B86930"/>
    <w:rsid w:val="2445710C"/>
    <w:rsid w:val="25827825"/>
    <w:rsid w:val="26852BE0"/>
    <w:rsid w:val="27155FD0"/>
    <w:rsid w:val="2A5E108E"/>
    <w:rsid w:val="2CAF6831"/>
    <w:rsid w:val="2EA77FA9"/>
    <w:rsid w:val="2FD34873"/>
    <w:rsid w:val="30501746"/>
    <w:rsid w:val="315A5234"/>
    <w:rsid w:val="34440C96"/>
    <w:rsid w:val="345A321C"/>
    <w:rsid w:val="34C2713A"/>
    <w:rsid w:val="37450C92"/>
    <w:rsid w:val="3AFB7D0E"/>
    <w:rsid w:val="3B840CB4"/>
    <w:rsid w:val="3C7D481B"/>
    <w:rsid w:val="3D170FAE"/>
    <w:rsid w:val="3F9E2286"/>
    <w:rsid w:val="3FFE1958"/>
    <w:rsid w:val="410276BA"/>
    <w:rsid w:val="41B95348"/>
    <w:rsid w:val="464E0A98"/>
    <w:rsid w:val="470B61DD"/>
    <w:rsid w:val="47352053"/>
    <w:rsid w:val="478979FD"/>
    <w:rsid w:val="504B1ED2"/>
    <w:rsid w:val="548778A4"/>
    <w:rsid w:val="557D7DDB"/>
    <w:rsid w:val="562341D8"/>
    <w:rsid w:val="59792AEC"/>
    <w:rsid w:val="5CAF05F7"/>
    <w:rsid w:val="5DDF06BF"/>
    <w:rsid w:val="5E635382"/>
    <w:rsid w:val="5EDBEBAE"/>
    <w:rsid w:val="60441AFF"/>
    <w:rsid w:val="63961BE0"/>
    <w:rsid w:val="651A0D6E"/>
    <w:rsid w:val="658A2F16"/>
    <w:rsid w:val="65CC5D02"/>
    <w:rsid w:val="66FF1EC6"/>
    <w:rsid w:val="67BE1FEE"/>
    <w:rsid w:val="69F632C8"/>
    <w:rsid w:val="6AD72144"/>
    <w:rsid w:val="6EF370DC"/>
    <w:rsid w:val="747F2966"/>
    <w:rsid w:val="75625BED"/>
    <w:rsid w:val="771C067A"/>
    <w:rsid w:val="7BC6204D"/>
    <w:rsid w:val="7C432B6A"/>
    <w:rsid w:val="7CE17A91"/>
    <w:rsid w:val="7D8212F8"/>
    <w:rsid w:val="7DA0505C"/>
    <w:rsid w:val="7ED62973"/>
    <w:rsid w:val="7FD54E08"/>
    <w:rsid w:val="AAAC70A5"/>
    <w:rsid w:val="B3DF8034"/>
    <w:rsid w:val="EABBB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link w:val="16"/>
    <w:qFormat/>
    <w:uiPriority w:val="0"/>
    <w:pPr>
      <w:spacing w:before="50" w:beforeLines="50" w:beforeAutospacing="0" w:after="50" w:afterLines="50" w:afterAutospacing="0"/>
      <w:jc w:val="both"/>
      <w:outlineLvl w:val="0"/>
    </w:pPr>
    <w:rPr>
      <w:rFonts w:hint="eastAsia" w:ascii="宋体" w:hAnsi="宋体" w:eastAsia="黑体" w:cs="宋体"/>
      <w:bCs/>
      <w:color w:val="000000" w:themeColor="text1"/>
      <w:kern w:val="44"/>
      <w:szCs w:val="48"/>
      <w:lang w:bidi="ar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50" w:beforeLines="50" w:after="50" w:afterLines="50" w:line="560" w:lineRule="exact"/>
      <w:ind w:firstLine="723" w:firstLineChars="200"/>
      <w:outlineLvl w:val="1"/>
    </w:pPr>
    <w:rPr>
      <w:rFonts w:ascii="Times New Roman" w:hAnsi="Times New Roman" w:eastAsia="楷体_GB2312" w:cstheme="majorBidi"/>
      <w:bCs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560" w:lineRule="exact"/>
      <w:outlineLvl w:val="2"/>
    </w:pPr>
    <w:rPr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方正仿宋_GB2312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Lines="0" w:afterAutospacing="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link w:val="15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360" w:lineRule="exact"/>
      <w:ind w:left="0" w:right="0" w:firstLine="420" w:firstLineChars="200"/>
      <w:jc w:val="left"/>
    </w:pPr>
    <w:rPr>
      <w:rFonts w:ascii="Times New Roman" w:hAnsi="Times New Roman" w:eastAsia="仿宋_GB2312" w:cs="Times New Roman"/>
      <w:sz w:val="18"/>
      <w:szCs w:val="18"/>
      <w:lang w:bidi="ar"/>
    </w:rPr>
  </w:style>
  <w:style w:type="paragraph" w:styleId="12">
    <w:name w:val="Body Text First Indent 2"/>
    <w:basedOn w:val="8"/>
    <w:qFormat/>
    <w:uiPriority w:val="0"/>
    <w:pPr>
      <w:ind w:left="0" w:leftChars="0" w:firstLine="420" w:firstLineChars="200"/>
    </w:pPr>
  </w:style>
  <w:style w:type="character" w:customStyle="1" w:styleId="15">
    <w:name w:val="脚注文本 字符"/>
    <w:basedOn w:val="14"/>
    <w:link w:val="11"/>
    <w:qFormat/>
    <w:uiPriority w:val="0"/>
    <w:rPr>
      <w:rFonts w:hint="default" w:ascii="Times New Roman" w:hAnsi="Times New Roman" w:eastAsia="仿宋_GB2312" w:cs="Times New Roman"/>
      <w:sz w:val="18"/>
      <w:szCs w:val="18"/>
    </w:rPr>
  </w:style>
  <w:style w:type="character" w:customStyle="1" w:styleId="16">
    <w:name w:val="标题 1 字符"/>
    <w:basedOn w:val="14"/>
    <w:link w:val="2"/>
    <w:qFormat/>
    <w:uiPriority w:val="0"/>
    <w:rPr>
      <w:rFonts w:ascii="宋体" w:hAnsi="宋体" w:eastAsia="黑体" w:cs="宋体"/>
      <w:bCs/>
      <w:color w:val="000000" w:themeColor="text1"/>
      <w:kern w:val="44"/>
      <w:sz w:val="32"/>
      <w:szCs w:val="21"/>
      <w14:textFill>
        <w14:solidFill>
          <w14:schemeClr w14:val="tx1"/>
        </w14:solidFill>
      </w14:textFill>
    </w:rPr>
  </w:style>
  <w:style w:type="character" w:customStyle="1" w:styleId="17">
    <w:name w:val="标题 2 字符"/>
    <w:basedOn w:val="14"/>
    <w:link w:val="3"/>
    <w:qFormat/>
    <w:uiPriority w:val="0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8">
    <w:name w:val="标题 3 Char"/>
    <w:link w:val="4"/>
    <w:qFormat/>
    <w:uiPriority w:val="0"/>
    <w:rPr>
      <w:rFonts w:ascii="Times New Roman" w:hAnsi="Times New Roman" w:eastAsia="仿宋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2023-09-03T07:22:00Z</dcterms:created>
  <dc:creator>李海娟</dc:creator>
  <cp:lastModifiedBy>如</cp:lastModifiedBy>
  <dcterms:modified xsi:type="dcterms:W3CDTF">2023-11-17T13:16:42Z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BF67B386ADF24760ABEC5ED157BE09E0_13</vt:lpwstr>
  </property>
</Properties>
</file>