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促进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体育产业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若干措施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right="0" w:firstLine="0" w:firstLineChars="0"/>
        <w:jc w:val="center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right="0" w:firstLine="0" w:firstLineChars="0"/>
        <w:jc w:val="center"/>
        <w:textAlignment w:val="baseline"/>
        <w:outlineLvl w:val="0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default" w:ascii="Times New Roman" w:hAnsi="Times New Roman" w:eastAsia="黑体" w:cs="黑体"/>
          <w:bCs/>
          <w:snapToGrid w:val="0"/>
          <w:color w:val="000000" w:themeColor="text1"/>
          <w:spacing w:val="-4"/>
          <w:kern w:val="44"/>
          <w:positio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Cs/>
          <w:snapToGrid w:val="0"/>
          <w:color w:val="000000" w:themeColor="text1"/>
          <w:spacing w:val="-4"/>
          <w:kern w:val="44"/>
          <w:positio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第一章 总则</w:t>
      </w:r>
    </w:p>
    <w:p>
      <w:pPr>
        <w:bidi w:val="0"/>
        <w:spacing w:beforeLines="0" w:afterLines="0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 xml:space="preserve">第一条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为抓住中国特色社会主义先行示范区和粤港澳大湾区建设重大机遇，</w:t>
      </w:r>
      <w:r>
        <w:rPr>
          <w:rFonts w:hint="eastAsia" w:ascii="Times New Roman" w:hAnsi="Times New Roman"/>
          <w:lang w:val="en-US" w:eastAsia="zh-CN"/>
        </w:rPr>
        <w:t>推动光明区体育</w:t>
      </w:r>
      <w:r>
        <w:rPr>
          <w:rFonts w:ascii="Times New Roman" w:hAnsi="Times New Roman"/>
        </w:rPr>
        <w:t>产业高质量发展，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根据《光明区经济发展专项资金管理办法》，结合光明区实际，</w:t>
      </w:r>
      <w:r>
        <w:rPr>
          <w:rFonts w:ascii="Times New Roman" w:hAnsi="Times New Roman"/>
        </w:rPr>
        <w:t>制定</w:t>
      </w:r>
      <w:r>
        <w:rPr>
          <w:rFonts w:hint="eastAsia" w:ascii="Times New Roman" w:hAnsi="Times New Roman" w:eastAsia="仿宋_GB2312"/>
          <w:lang w:val="en-US" w:eastAsia="zh-CN"/>
        </w:rPr>
        <w:t>本措施</w:t>
      </w:r>
      <w:r>
        <w:rPr>
          <w:rFonts w:hint="eastAsia" w:ascii="Times New Roman" w:hAnsi="Times New Roman" w:eastAsia="仿宋_GB2312"/>
          <w:lang w:eastAsia="zh-CN"/>
        </w:rPr>
        <w:t>。</w:t>
      </w:r>
    </w:p>
    <w:p>
      <w:pPr>
        <w:bidi w:val="0"/>
        <w:spacing w:beforeLines="0" w:afterLines="0"/>
        <w:rPr>
          <w:rFonts w:ascii="Times New Roman" w:hAnsi="Times New Roma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第二条</w:t>
      </w:r>
      <w:r>
        <w:rPr>
          <w:rFonts w:hint="eastAsia" w:ascii="Times New Roman" w:hAnsi="Times New Roman" w:eastAsia="仿宋_GB2312"/>
          <w:lang w:val="en-US" w:eastAsia="zh-CN"/>
        </w:rPr>
        <w:t xml:space="preserve"> 本措施适用于在光明区辖区内依法经营，具有独立法人资格并从事</w:t>
      </w:r>
      <w:r>
        <w:rPr>
          <w:rFonts w:hint="eastAsia" w:ascii="Times New Roman" w:hAnsi="Times New Roman"/>
          <w:lang w:val="en-US" w:eastAsia="zh-CN"/>
        </w:rPr>
        <w:t>体育</w:t>
      </w:r>
      <w:r>
        <w:rPr>
          <w:rFonts w:hint="eastAsia" w:ascii="Times New Roman" w:hAnsi="Times New Roman" w:eastAsia="仿宋_GB2312"/>
          <w:lang w:val="en-US" w:eastAsia="zh-CN"/>
        </w:rPr>
        <w:t>及相关产业的企业、社会组织</w:t>
      </w:r>
      <w:r>
        <w:rPr>
          <w:rFonts w:ascii="Times New Roman" w:hAnsi="Times New Roman"/>
        </w:rPr>
        <w:t>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default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第二章 培育高成长企业梯队</w:t>
      </w:r>
    </w:p>
    <w:p>
      <w:pPr>
        <w:bidi w:val="0"/>
        <w:spacing w:beforeLines="0" w:afterLines="0"/>
        <w:rPr>
          <w:rFonts w:hint="default" w:ascii="Times New Roman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第三条</w:t>
      </w:r>
      <w:r>
        <w:rPr>
          <w:rFonts w:hint="eastAsia"/>
          <w:lang w:val="en-US" w:eastAsia="zh-CN"/>
        </w:rPr>
        <w:t xml:space="preserve"> 对首次纳入光明区规模以上文化、体育和娱乐业统计的体育企业给予10万元奖励。</w:t>
      </w:r>
    </w:p>
    <w:p>
      <w:pPr>
        <w:bidi w:val="0"/>
        <w:spacing w:beforeLines="0" w:afterLines="0"/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 xml:space="preserve">第四条 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鼓励创建国家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级、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省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级、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市级体育产业单位或项目。对认定为国家级、省级、市级体育产业示范单位或项目的，分别给予一次性100</w:t>
      </w:r>
      <w:r>
        <w:rPr>
          <w:rFonts w:hint="eastAsia" w:ascii="Times New Roman" w:hAnsi="Times New Roman" w:eastAsia="仿宋_GB231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、50</w:t>
      </w:r>
      <w:r>
        <w:rPr>
          <w:rFonts w:hint="eastAsia" w:ascii="Times New Roman" w:hAnsi="Times New Roman" w:eastAsia="仿宋_GB231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、30万元奖励。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default" w:ascii="Times New Roman" w:hAnsi="Times New Roman" w:eastAsia="楷体_GB2312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章 推动体育产业集聚发展</w:t>
      </w:r>
    </w:p>
    <w:p>
      <w:pPr>
        <w:bidi w:val="0"/>
        <w:spacing w:beforeLines="0" w:afterLines="0"/>
        <w:ind w:left="0" w:leftChars="0" w:firstLine="640" w:firstLineChars="200"/>
        <w:rPr>
          <w:rFonts w:hint="eastAsia" w:ascii="Times New Roman" w:hAnsi="Times New Roman"/>
          <w:highlight w:val="yellow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第</w:t>
      </w:r>
      <w:r>
        <w:rPr>
          <w:rFonts w:hint="eastAsia" w:eastAsia="楷体_GB2312" w:cs="楷体_GB2312"/>
          <w:b w:val="0"/>
          <w:bCs w:val="0"/>
          <w:lang w:val="en-US" w:eastAsia="zh-CN"/>
        </w:rPr>
        <w:t>五</w:t>
      </w: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条</w:t>
      </w:r>
      <w:r>
        <w:rPr>
          <w:rFonts w:hint="eastAsia" w:ascii="Times New Roman" w:hAnsi="Times New Roman" w:eastAsia="仿宋_GB2312"/>
          <w:lang w:val="en-US" w:eastAsia="zh-CN"/>
        </w:rPr>
        <w:t xml:space="preserve"> 鼓励创建体育产业园区（基地）。对认定为国家级、省级、市级体育产业园区（基地）的，分别给予100 万元、50 万元、30 万元</w:t>
      </w:r>
      <w:r>
        <w:rPr>
          <w:rFonts w:hint="eastAsia"/>
          <w:lang w:val="en-US" w:eastAsia="zh-CN"/>
        </w:rPr>
        <w:t>的一次性</w:t>
      </w:r>
      <w:r>
        <w:rPr>
          <w:rFonts w:hint="eastAsia" w:ascii="Times New Roman" w:hAnsi="Times New Roman" w:eastAsia="仿宋_GB2312"/>
          <w:lang w:val="en-US" w:eastAsia="zh-CN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第</w:t>
      </w:r>
      <w:r>
        <w:rPr>
          <w:rFonts w:hint="eastAsia" w:eastAsia="楷体_GB2312" w:cs="楷体_GB2312"/>
          <w:b w:val="0"/>
          <w:bCs w:val="0"/>
          <w:lang w:val="en-US" w:eastAsia="zh-CN"/>
        </w:rPr>
        <w:t>六</w:t>
      </w: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 xml:space="preserve">条 </w:t>
      </w:r>
      <w:r>
        <w:rPr>
          <w:rFonts w:hint="eastAsia" w:ascii="Times New Roman" w:hAnsi="Times New Roman"/>
          <w:lang w:val="en-US" w:eastAsia="zh-CN"/>
        </w:rPr>
        <w:t>支持中小微体育企业发展，对入驻经市级以上体育产业主管部门认定的体育产业园区（基地）的体育企业或社会组织，给予不超过年租金50%、每年最高30万元的房租补贴，每家单位最多支持三年。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default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章 举办高水平体育赛事活动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/>
          <w:b w:val="0"/>
          <w:bCs w:val="0"/>
          <w:color w:val="auto"/>
          <w:highlight w:val="yellow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lang w:val="en-US" w:eastAsia="zh-CN"/>
        </w:rPr>
        <w:t>第</w:t>
      </w:r>
      <w:r>
        <w:rPr>
          <w:rFonts w:hint="eastAsia" w:eastAsia="楷体_GB2312" w:cs="楷体_GB2312"/>
          <w:b w:val="0"/>
          <w:bCs w:val="0"/>
          <w:color w:val="auto"/>
          <w:lang w:val="en-US" w:eastAsia="zh-CN"/>
        </w:rPr>
        <w:t>七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lang w:val="en-US" w:eastAsia="zh-CN"/>
        </w:rPr>
        <w:t xml:space="preserve">条 </w:t>
      </w:r>
      <w:r>
        <w:rPr>
          <w:rFonts w:hint="eastAsia"/>
          <w:color w:val="auto"/>
          <w:highlight w:val="none"/>
          <w:lang w:val="en-US" w:eastAsia="zh-CN"/>
        </w:rPr>
        <w:t>对重点鼓励发展的运动项目实施分类引导、精准扶持。其中，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足球、篮球、网球、羽毛球、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自行车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马术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赛艇、高尔夫球、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游泳、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排球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一类扶持项目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攀岩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、乒乓球、象棋、国际象棋、围棋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电子竞技、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定向、轮滑、滑板、无人机航空模型运动、车辆模型运动、台球、武术、拳击、皮划艇、体育舞蹈、跆拳道、田径、垒球、太极拳、柔道、体操、射击、橄榄球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二类扶持项目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。</w:t>
      </w:r>
    </w:p>
    <w:p>
      <w:pPr>
        <w:bidi w:val="0"/>
        <w:spacing w:beforeLines="0" w:afterLines="0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lang w:val="en-US" w:eastAsia="zh-CN"/>
        </w:rPr>
        <w:t>第</w:t>
      </w:r>
      <w:r>
        <w:rPr>
          <w:rFonts w:hint="eastAsia" w:eastAsia="楷体_GB2312" w:cs="楷体_GB2312"/>
          <w:b w:val="0"/>
          <w:bCs w:val="0"/>
          <w:color w:val="auto"/>
          <w:lang w:val="en-US" w:eastAsia="zh-CN"/>
        </w:rPr>
        <w:t>八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lang w:val="en-US" w:eastAsia="zh-CN"/>
        </w:rPr>
        <w:t>条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引进和培育职业体育俱乐部</w:t>
      </w:r>
      <w:r>
        <w:rPr>
          <w:rFonts w:hint="eastAsia"/>
          <w:color w:val="auto"/>
          <w:highlight w:val="none"/>
          <w:lang w:val="en-US" w:eastAsia="zh-CN"/>
        </w:rPr>
        <w:t>，</w:t>
      </w:r>
      <w:r>
        <w:rPr>
          <w:rFonts w:hint="eastAsia" w:ascii="Times New Roman" w:hAnsi="Times New Roman"/>
          <w:color w:val="auto"/>
          <w:lang w:val="en-US" w:eastAsia="zh-CN"/>
        </w:rPr>
        <w:t>对落户或迁入光明区并</w:t>
      </w:r>
      <w:r>
        <w:rPr>
          <w:rFonts w:hint="eastAsia"/>
          <w:color w:val="auto"/>
          <w:lang w:val="en-US" w:eastAsia="zh-CN"/>
        </w:rPr>
        <w:t>冠“深圳”或“光明”</w:t>
      </w:r>
      <w:r>
        <w:rPr>
          <w:rFonts w:hint="eastAsia" w:ascii="仿宋_GB2312" w:hAnsi="仿宋_GB2312" w:cs="仿宋_GB2312"/>
          <w:color w:val="auto"/>
          <w:lang w:val="en-US" w:eastAsia="zh-CN"/>
        </w:rPr>
        <w:t>队名，参加职业联赛或者签约世界排名前列运动员的职业体育俱乐部，按项目类别、影响力、职业联赛等级和投入等，可每赛季给予不超过350万元的资助，用于训练基地、专项器材、比赛场租和安保经费等。参加国际高级别职业比赛或全国顶级职业联赛取得优秀成绩的，按项目类别、影响力、职业联赛等级和名次等，可给予不超过800万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lang w:val="en-US" w:eastAsia="zh-CN"/>
        </w:rPr>
        <w:t>第</w:t>
      </w:r>
      <w:r>
        <w:rPr>
          <w:rFonts w:hint="eastAsia" w:eastAsia="楷体_GB2312" w:cs="楷体_GB2312"/>
          <w:b w:val="0"/>
          <w:bCs w:val="0"/>
          <w:color w:val="auto"/>
          <w:lang w:val="en-US" w:eastAsia="zh-CN"/>
        </w:rPr>
        <w:t>九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lang w:val="en-US" w:eastAsia="zh-CN"/>
        </w:rPr>
        <w:t xml:space="preserve">条 </w:t>
      </w:r>
      <w:r>
        <w:rPr>
          <w:rFonts w:hint="eastAsia" w:ascii="Times New Roman" w:hAnsi="Times New Roman"/>
          <w:color w:val="auto"/>
          <w:lang w:val="en-US" w:eastAsia="zh-CN"/>
        </w:rPr>
        <w:t>支持举办重大体育赛事</w:t>
      </w:r>
      <w:r>
        <w:rPr>
          <w:rFonts w:hint="eastAsia" w:ascii="Times New Roman" w:hAnsi="Times New Roman" w:eastAsia="仿宋_GB2312"/>
          <w:b w:val="0"/>
          <w:bCs w:val="0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在光明区举办国际性高水平单项体育赛事，按实际办赛经费50%分别给予一类、二类项目最高500万元、200万元资助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在光明区举办的全国性高水平单项体育赛事，按实际办赛经费50%分别给予一类、二类项目最高300万元、100万元资助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支持在光明区举办的其他奥运项目的国际性体育赛事、全国性体育赛事、省级体育赛事，按实际办赛经费50%分别给予最高200万元、100万元、50万元资助。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支持在光明区举办有区域特色的自主品牌体育赛事活动，经体育主管部门审定后，按实际办赛经费50%一次性给予最高100万元资助。每个申请单位每年累计最高资助不超过200万元。连续在光明区举办三年（含）以上的体育赛事，在第三年办赛结束后额外给予一次性30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第</w:t>
      </w:r>
      <w:r>
        <w:rPr>
          <w:rFonts w:hint="eastAsia" w:eastAsia="楷体_GB2312" w:cs="楷体_GB2312"/>
          <w:b w:val="0"/>
          <w:bCs w:val="0"/>
          <w:lang w:val="en-US" w:eastAsia="zh-CN"/>
        </w:rPr>
        <w:t>十</w:t>
      </w: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条</w:t>
      </w:r>
      <w:r>
        <w:rPr>
          <w:rFonts w:hint="eastAsia" w:ascii="Times New Roman" w:hAnsi="Times New Roman" w:eastAsia="仿宋_GB2312"/>
          <w:b w:val="0"/>
          <w:bCs w:val="0"/>
          <w:lang w:val="en-US" w:eastAsia="zh-CN"/>
        </w:rPr>
        <w:t xml:space="preserve"> 支持举办或参加体育行业论坛、展会活动</w:t>
      </w:r>
      <w:r>
        <w:rPr>
          <w:rFonts w:hint="eastAsia" w:ascii="Times New Roman" w:hAnsi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</w:rPr>
        <w:t>对在光明区举办参</w:t>
      </w:r>
      <w:r>
        <w:rPr>
          <w:rFonts w:hint="eastAsia" w:ascii="仿宋_GB2312" w:hAnsi="仿宋_GB2312" w:cs="仿宋_GB2312"/>
          <w:color w:val="auto"/>
        </w:rPr>
        <w:t>与人数超</w:t>
      </w:r>
      <w:r>
        <w:rPr>
          <w:rFonts w:hint="eastAsia" w:ascii="仿宋_GB2312" w:hAnsi="仿宋_GB2312" w:cs="仿宋_GB2312"/>
          <w:color w:val="auto"/>
          <w:lang w:val="en-US" w:eastAsia="zh-CN"/>
        </w:rPr>
        <w:t>过1</w:t>
      </w:r>
      <w:r>
        <w:rPr>
          <w:rFonts w:hint="eastAsia" w:ascii="仿宋_GB2312" w:hAnsi="仿宋_GB2312" w:cs="仿宋_GB2312"/>
          <w:color w:val="auto"/>
        </w:rPr>
        <w:t>00人的体育</w:t>
      </w:r>
      <w:r>
        <w:rPr>
          <w:rFonts w:hint="eastAsia" w:ascii="仿宋_GB2312" w:hAnsi="仿宋_GB2312" w:cs="仿宋_GB2312"/>
          <w:color w:val="auto"/>
          <w:lang w:val="en-US" w:eastAsia="zh-CN"/>
        </w:rPr>
        <w:t>专业</w:t>
      </w:r>
      <w:r>
        <w:rPr>
          <w:rFonts w:hint="eastAsia" w:ascii="仿宋_GB2312" w:hAnsi="仿宋_GB2312" w:cs="仿宋_GB2312"/>
          <w:color w:val="auto"/>
        </w:rPr>
        <w:t>论坛</w:t>
      </w:r>
      <w:r>
        <w:rPr>
          <w:rFonts w:hint="eastAsia" w:ascii="仿宋_GB2312" w:hAnsi="仿宋_GB2312" w:cs="仿宋_GB2312"/>
          <w:color w:val="auto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lang w:val="en-US" w:eastAsia="zh-CN"/>
        </w:rPr>
        <w:t>峰会，切实推动体育企业交流、发展的单位</w:t>
      </w:r>
      <w:r>
        <w:rPr>
          <w:rFonts w:hint="eastAsia" w:ascii="仿宋_GB2312" w:hAnsi="仿宋_GB2312" w:cs="仿宋_GB2312"/>
          <w:color w:val="auto"/>
        </w:rPr>
        <w:t>，</w:t>
      </w:r>
      <w:r>
        <w:rPr>
          <w:rFonts w:hint="eastAsia" w:ascii="仿宋_GB2312" w:hAnsi="仿宋_GB2312" w:cs="仿宋_GB2312"/>
          <w:color w:val="auto"/>
          <w:highlight w:val="none"/>
        </w:rPr>
        <w:t>经评审认定，</w:t>
      </w:r>
      <w:r>
        <w:rPr>
          <w:rFonts w:hint="eastAsia" w:ascii="仿宋_GB2312" w:hAnsi="仿宋_GB2312" w:cs="仿宋_GB2312"/>
          <w:color w:val="auto"/>
        </w:rPr>
        <w:t>按实际活动经费的30%给予最高不超过50万元一次性事后资助</w:t>
      </w:r>
      <w:r>
        <w:rPr>
          <w:rFonts w:hint="eastAsia" w:ascii="仿宋_GB2312" w:hAnsi="仿宋_GB2312" w:cs="仿宋_GB2312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</w:rPr>
        <w:t>对在光明区举办</w:t>
      </w:r>
      <w:r>
        <w:rPr>
          <w:rFonts w:hint="eastAsia" w:ascii="仿宋_GB2312" w:hAnsi="仿宋_GB2312" w:cs="仿宋_GB2312"/>
          <w:lang w:val="en-US" w:eastAsia="zh-CN"/>
        </w:rPr>
        <w:t>体育产业专业展会</w:t>
      </w:r>
      <w:r>
        <w:rPr>
          <w:rFonts w:hint="eastAsia" w:ascii="仿宋_GB2312" w:hAnsi="仿宋_GB2312" w:cs="仿宋_GB2312"/>
        </w:rPr>
        <w:t>的单位，按实际活动经费的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0%给予最高不超过</w:t>
      </w:r>
      <w:r>
        <w:rPr>
          <w:rFonts w:hint="eastAsia" w:ascii="仿宋_GB2312" w:hAnsi="仿宋_GB2312" w:cs="仿宋_GB2312"/>
          <w:lang w:val="en-US" w:eastAsia="zh-CN"/>
        </w:rPr>
        <w:t>200</w:t>
      </w:r>
      <w:r>
        <w:rPr>
          <w:rFonts w:hint="eastAsia" w:ascii="仿宋_GB2312" w:hAnsi="仿宋_GB2312" w:cs="仿宋_GB2312"/>
        </w:rPr>
        <w:t>万元一次性事后资助</w:t>
      </w:r>
      <w:r>
        <w:rPr>
          <w:rFonts w:hint="eastAsia" w:ascii="仿宋_GB2312" w:hAnsi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对参加国内外体育展会的单位，按参展费用的50%给予资助，国内最高10万元，国外最高20万元，</w:t>
      </w:r>
      <w:r>
        <w:rPr>
          <w:rFonts w:hint="eastAsia" w:ascii="仿宋_GB2312" w:hAnsi="仿宋_GB2312" w:cs="仿宋_GB2312"/>
          <w:lang w:val="en-US" w:eastAsia="zh-CN"/>
        </w:rPr>
        <w:t>每家单位每年</w:t>
      </w:r>
      <w:r>
        <w:rPr>
          <w:rFonts w:hint="eastAsia" w:ascii="仿宋_GB2312" w:hAnsi="仿宋_GB2312" w:cs="仿宋_GB2312"/>
          <w:lang w:eastAsia="zh-CN"/>
        </w:rPr>
        <w:t>累计最高100万元。</w:t>
      </w:r>
      <w:bookmarkStart w:id="0" w:name="_GoBack"/>
      <w:bookmarkEnd w:id="0"/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default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 xml:space="preserve">章 </w:t>
      </w:r>
      <w:r>
        <w:rPr>
          <w:rFonts w:hint="eastAsia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激发</w:t>
      </w:r>
      <w:r>
        <w:rPr>
          <w:rFonts w:hint="eastAsia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消费产业活力</w:t>
      </w:r>
    </w:p>
    <w:p>
      <w:pPr>
        <w:bidi w:val="0"/>
        <w:spacing w:beforeLines="0" w:afterLine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第十</w:t>
      </w:r>
      <w:r>
        <w:rPr>
          <w:rFonts w:hint="eastAsia" w:eastAsia="楷体_GB2312" w:cs="楷体_GB2312"/>
          <w:b w:val="0"/>
          <w:bCs w:val="0"/>
          <w:lang w:val="en-US" w:eastAsia="zh-CN"/>
        </w:rPr>
        <w:t>一</w:t>
      </w: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条</w:t>
      </w:r>
      <w:r>
        <w:rPr>
          <w:rFonts w:hint="eastAsia" w:ascii="Times New Roman" w:hAnsi="Times New Roman" w:eastAsia="仿宋_GB2312"/>
          <w:lang w:val="en-US" w:eastAsia="zh-CN"/>
        </w:rPr>
        <w:t xml:space="preserve"> 支持体育新业态项目落地</w:t>
      </w:r>
      <w:r>
        <w:rPr>
          <w:rFonts w:hint="default" w:ascii="Times New Roman" w:hAnsi="Times New Roman"/>
          <w:lang w:val="en-US" w:eastAsia="zh-CN"/>
        </w:rPr>
        <w:t>。对于水上运动、户外露营、体育电竞</w:t>
      </w:r>
      <w:r>
        <w:rPr>
          <w:rFonts w:hint="eastAsia" w:ascii="仿宋_GB2312" w:hAnsi="仿宋_GB2312" w:cs="仿宋_GB2312"/>
          <w:lang w:val="en-US" w:eastAsia="zh-CN"/>
        </w:rPr>
        <w:t>、休闲健身等领域的示范引领作用强、业态功能完善、辐射效益良好、促进消费升级的项目，经评审认定，按投资总额的30%给予最高不超过100万元的建设扶持。</w:t>
      </w:r>
    </w:p>
    <w:p>
      <w:pPr>
        <w:bidi w:val="0"/>
        <w:spacing w:beforeLines="0" w:afterLines="0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highlight w:val="none"/>
          <w:lang w:val="en-US" w:eastAsia="zh-CN"/>
        </w:rPr>
        <w:t>第</w:t>
      </w:r>
      <w:r>
        <w:rPr>
          <w:rFonts w:hint="eastAsia" w:eastAsia="楷体_GB2312" w:cs="楷体_GB2312"/>
          <w:b w:val="0"/>
          <w:bCs w:val="0"/>
          <w:color w:val="auto"/>
          <w:highlight w:val="none"/>
          <w:lang w:val="en-US" w:eastAsia="zh-CN"/>
        </w:rPr>
        <w:t>十一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highlight w:val="none"/>
          <w:lang w:val="en-US" w:eastAsia="zh-CN"/>
        </w:rPr>
        <w:t>条</w:t>
      </w:r>
      <w:r>
        <w:rPr>
          <w:rFonts w:hint="eastAsia" w:ascii="Times New Roman" w:hAnsi="Times New Roman" w:eastAsia="仿宋_GB2312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每年向市民发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放250万元的</w:t>
      </w:r>
      <w:r>
        <w:rPr>
          <w:rFonts w:hint="eastAsia"/>
          <w:color w:val="auto"/>
          <w:highlight w:val="none"/>
          <w:lang w:val="en-US" w:eastAsia="zh-CN"/>
        </w:rPr>
        <w:t>体育消费券</w:t>
      </w:r>
      <w:r>
        <w:rPr>
          <w:rFonts w:hint="default"/>
          <w:color w:val="auto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激发市民体育消费需求，提高体育场地设施运营管理水平。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default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 xml:space="preserve">章 </w:t>
      </w:r>
      <w:r>
        <w:rPr>
          <w:rFonts w:hint="eastAsia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Times New Roman" w:hAnsi="Times New Roman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体育“+”</w:t>
      </w:r>
      <w:r>
        <w:rPr>
          <w:rFonts w:hint="eastAsia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eastAsia="黑体" w:cs="宋体"/>
          <w:bCs/>
          <w:snapToGrid w:val="0"/>
          <w:color w:val="000000" w:themeColor="text1"/>
          <w:kern w:val="44"/>
          <w:sz w:val="32"/>
          <w:szCs w:val="48"/>
          <w:lang w:val="en-US" w:eastAsia="zh-CN" w:bidi="ar"/>
          <w14:textFill>
            <w14:solidFill>
              <w14:schemeClr w14:val="tx1"/>
            </w14:solidFill>
          </w14:textFill>
        </w:rPr>
        <w:t>业融合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yellow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highlight w:val="none"/>
          <w:lang w:val="en-US" w:eastAsia="zh-CN"/>
        </w:rPr>
        <w:t>第十</w:t>
      </w:r>
      <w:r>
        <w:rPr>
          <w:rFonts w:hint="eastAsia" w:eastAsia="楷体_GB2312" w:cs="楷体_GB2312"/>
          <w:b w:val="0"/>
          <w:bCs w:val="0"/>
          <w:highlight w:val="none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b w:val="0"/>
          <w:bCs w:val="0"/>
          <w:highlight w:val="none"/>
          <w:lang w:val="en-US" w:eastAsia="zh-CN"/>
        </w:rPr>
        <w:t xml:space="preserve">条 </w:t>
      </w:r>
      <w:r>
        <w:rPr>
          <w:rFonts w:hint="eastAsia" w:ascii="Times New Roman" w:hAnsi="Times New Roman"/>
          <w:highlight w:val="none"/>
          <w:lang w:val="en-US" w:eastAsia="zh-CN"/>
        </w:rPr>
        <w:t>鼓励相关企业开发、设计智慧体育产品及平台</w:t>
      </w:r>
      <w:r>
        <w:rPr>
          <w:rFonts w:hint="eastAsia"/>
          <w:highlight w:val="none"/>
          <w:lang w:val="en-US" w:eastAsia="zh-CN"/>
        </w:rPr>
        <w:t>。</w:t>
      </w:r>
      <w:r>
        <w:rPr>
          <w:rFonts w:hint="eastAsia"/>
          <w:b w:val="0"/>
          <w:bCs w:val="0"/>
          <w:highlight w:val="none"/>
          <w:lang w:val="en-US" w:eastAsia="zh-CN"/>
        </w:rPr>
        <w:t>企业研发智能类、科技类产品及平</w:t>
      </w:r>
      <w:r>
        <w:rPr>
          <w:rFonts w:hint="eastAsia" w:ascii="仿宋_GB2312" w:hAnsi="仿宋_GB2312" w:cs="仿宋_GB2312"/>
          <w:b w:val="0"/>
          <w:bCs w:val="0"/>
          <w:highlight w:val="none"/>
          <w:lang w:val="en-US" w:eastAsia="zh-CN"/>
        </w:rPr>
        <w:t>台，对体育场所智能化管理及服务有显著提升效果的，经评审认定，给予不超过投资总额50%的资金扶持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，每家每年最高不超过100万元。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第十</w:t>
      </w:r>
      <w:r>
        <w:rPr>
          <w:rFonts w:hint="eastAsia" w:eastAsia="楷体_GB2312" w:cs="楷体_GB2312"/>
          <w:b w:val="0"/>
          <w:bCs w:val="0"/>
          <w:lang w:val="en-US" w:eastAsia="zh-CN"/>
        </w:rPr>
        <w:t>四</w:t>
      </w: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条</w:t>
      </w:r>
      <w:r>
        <w:rPr>
          <w:rFonts w:hint="eastAsia" w:ascii="Times New Roman" w:hAnsi="Times New Roman"/>
          <w:lang w:val="en-US" w:eastAsia="zh-CN"/>
        </w:rPr>
        <w:t xml:space="preserve"> 鼓</w:t>
      </w:r>
      <w:r>
        <w:rPr>
          <w:rFonts w:hint="eastAsia" w:ascii="仿宋_GB2312" w:hAnsi="仿宋_GB2312" w:cs="仿宋_GB2312"/>
          <w:lang w:val="en-US" w:eastAsia="zh-CN"/>
        </w:rPr>
        <w:t>励体育和文旅融合发展。对获评中国体育旅游精品项目（景区、目的地、线路、赛事）和</w:t>
      </w:r>
      <w:r>
        <w:rPr>
          <w:rFonts w:hint="eastAsia" w:ascii="仿宋_GB2312" w:hAnsi="仿宋_GB2312" w:cs="仿宋_GB2312"/>
          <w:highlight w:val="none"/>
          <w:lang w:val="en-US" w:eastAsia="zh-CN"/>
        </w:rPr>
        <w:t>国家级、省级、市级</w:t>
      </w:r>
      <w:r>
        <w:rPr>
          <w:rFonts w:hint="eastAsia" w:ascii="仿宋_GB2312" w:hAnsi="仿宋_GB2312" w:cs="仿宋_GB2312"/>
          <w:lang w:val="en-US" w:eastAsia="zh-CN"/>
        </w:rPr>
        <w:t>体育旅游示范基地称号的单位给予30</w:t>
      </w:r>
      <w:r>
        <w:rPr>
          <w:rFonts w:hint="eastAsia" w:ascii="仿宋_GB2312" w:hAnsi="仿宋_GB2312" w:cs="仿宋_GB2312"/>
          <w:lang w:val="en-US" w:eastAsia="zh-CN"/>
        </w:rPr>
        <w:t>万元</w:t>
      </w:r>
      <w:r>
        <w:rPr>
          <w:rFonts w:hint="eastAsia" w:ascii="仿宋_GB2312" w:hAnsi="仿宋_GB2312" w:cs="仿宋_GB2312"/>
          <w:lang w:val="en-US" w:eastAsia="zh-CN"/>
        </w:rPr>
        <w:t>、20万</w:t>
      </w:r>
      <w:r>
        <w:rPr>
          <w:rFonts w:hint="eastAsia" w:ascii="仿宋_GB2312" w:hAnsi="仿宋_GB2312" w:cs="仿宋_GB2312"/>
          <w:lang w:val="en-US" w:eastAsia="zh-CN"/>
        </w:rPr>
        <w:t>元</w:t>
      </w:r>
      <w:r>
        <w:rPr>
          <w:rFonts w:hint="eastAsia" w:ascii="仿宋_GB2312" w:hAnsi="仿宋_GB2312" w:cs="仿宋_GB2312"/>
          <w:lang w:val="en-US" w:eastAsia="zh-CN"/>
        </w:rPr>
        <w:t>、10万元的一次性奖励。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outlineLvl w:val="0"/>
        <w:rPr>
          <w:rFonts w:hint="eastAsia" w:ascii="Times New Roman" w:hAnsi="Times New Roman" w:eastAsia="黑体" w:cs="黑体"/>
          <w:bCs/>
          <w:snapToGrid w:val="0"/>
          <w:color w:val="000000" w:themeColor="text1"/>
          <w:kern w:val="44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Cs/>
          <w:snapToGrid w:val="0"/>
          <w:color w:val="000000" w:themeColor="text1"/>
          <w:spacing w:val="-5"/>
          <w:kern w:val="44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黑体" w:cs="黑体"/>
          <w:bCs/>
          <w:snapToGrid w:val="0"/>
          <w:color w:val="000000" w:themeColor="text1"/>
          <w:spacing w:val="-5"/>
          <w:kern w:val="44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黑体" w:cs="黑体"/>
          <w:bCs/>
          <w:snapToGrid w:val="0"/>
          <w:color w:val="000000" w:themeColor="text1"/>
          <w:spacing w:val="-5"/>
          <w:kern w:val="44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章 </w:t>
      </w:r>
      <w:r>
        <w:rPr>
          <w:rFonts w:hint="eastAsia" w:ascii="Times New Roman" w:hAnsi="Times New Roman" w:eastAsia="黑体" w:cs="黑体"/>
          <w:bCs/>
          <w:snapToGrid w:val="0"/>
          <w:color w:val="000000" w:themeColor="text1"/>
          <w:spacing w:val="-3"/>
          <w:kern w:val="44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附则</w:t>
      </w:r>
    </w:p>
    <w:p>
      <w:pPr>
        <w:bidi w:val="0"/>
        <w:spacing w:beforeLines="0" w:afterLines="0"/>
        <w:rPr>
          <w:rFonts w:hint="eastAsia" w:ascii="Times New Roman" w:hAnsi="Times New Roman"/>
        </w:rPr>
      </w:pP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第十</w:t>
      </w:r>
      <w:r>
        <w:rPr>
          <w:rFonts w:hint="eastAsia" w:eastAsia="楷体_GB2312" w:cs="楷体_GB2312"/>
          <w:b w:val="0"/>
          <w:bCs w:val="0"/>
          <w:lang w:val="en-US" w:eastAsia="zh-CN"/>
        </w:rPr>
        <w:t>五</w:t>
      </w: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条</w:t>
      </w:r>
      <w:r>
        <w:rPr>
          <w:rFonts w:hint="eastAsia" w:ascii="Times New Roman" w:hAnsi="Times New Roman" w:eastAsia="仿宋_GB2312"/>
          <w:lang w:val="en-US" w:eastAsia="zh-CN"/>
        </w:rPr>
        <w:t xml:space="preserve"> </w:t>
      </w:r>
      <w:r>
        <w:rPr>
          <w:rFonts w:hint="eastAsia" w:ascii="Times New Roman" w:hAnsi="Times New Roman"/>
        </w:rPr>
        <w:t>本措施与光明区其他同类优惠措施，由企业自主选择申报，不重复资助。</w:t>
      </w:r>
    </w:p>
    <w:p>
      <w:pPr>
        <w:bidi w:val="0"/>
        <w:spacing w:beforeLines="0" w:afterLines="0"/>
        <w:rPr>
          <w:rFonts w:ascii="Times New Roman" w:hAnsi="Times New Roman"/>
        </w:rPr>
      </w:pPr>
      <w:r>
        <w:rPr>
          <w:rFonts w:hint="eastAsia" w:ascii="Times New Roman" w:hAnsi="Times New Roman" w:eastAsia="楷体_GB2312" w:cs="楷体_GB2312"/>
          <w:lang w:val="en-US" w:eastAsia="zh-CN"/>
        </w:rPr>
        <w:t>第十</w:t>
      </w:r>
      <w:r>
        <w:rPr>
          <w:rFonts w:hint="eastAsia" w:eastAsia="楷体_GB2312" w:cs="楷体_GB2312"/>
          <w:lang w:val="en-US" w:eastAsia="zh-CN"/>
        </w:rPr>
        <w:t>六</w:t>
      </w:r>
      <w:r>
        <w:rPr>
          <w:rFonts w:hint="eastAsia" w:ascii="Times New Roman" w:hAnsi="Times New Roman" w:eastAsia="楷体_GB2312" w:cs="楷体_GB2312"/>
          <w:lang w:val="en-US" w:eastAsia="zh-CN"/>
        </w:rPr>
        <w:t>条</w:t>
      </w:r>
      <w:r>
        <w:rPr>
          <w:rFonts w:hint="eastAsia" w:ascii="Times New Roman" w:hAnsi="Times New Roman" w:eastAsia="仿宋_GB2312"/>
          <w:lang w:val="en-US" w:eastAsia="zh-CN"/>
        </w:rPr>
        <w:t xml:space="preserve"> </w:t>
      </w:r>
      <w:r>
        <w:rPr>
          <w:rFonts w:hint="eastAsia" w:ascii="Times New Roman" w:hAnsi="Times New Roman"/>
        </w:rPr>
        <w:t>本措施的资助与奖励资金在光明区经济发展专项资金中列支。</w:t>
      </w:r>
    </w:p>
    <w:p>
      <w:pPr>
        <w:bidi w:val="0"/>
        <w:spacing w:beforeLines="0" w:afterLines="0"/>
        <w:rPr>
          <w:rFonts w:ascii="Times New Roman" w:hAnsi="Times New Roman"/>
        </w:rPr>
      </w:pP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第十</w:t>
      </w:r>
      <w:r>
        <w:rPr>
          <w:rFonts w:hint="eastAsia" w:eastAsia="楷体_GB2312" w:cs="楷体_GB2312"/>
          <w:b w:val="0"/>
          <w:bCs w:val="0"/>
          <w:lang w:val="en-US" w:eastAsia="zh-CN"/>
        </w:rPr>
        <w:t>七</w:t>
      </w:r>
      <w:r>
        <w:rPr>
          <w:rFonts w:hint="eastAsia" w:ascii="Times New Roman" w:hAnsi="Times New Roman" w:eastAsia="楷体_GB2312" w:cs="楷体_GB2312"/>
          <w:b w:val="0"/>
          <w:bCs w:val="0"/>
          <w:lang w:val="en-US" w:eastAsia="zh-CN"/>
        </w:rPr>
        <w:t>条</w:t>
      </w:r>
      <w:r>
        <w:rPr>
          <w:rFonts w:hint="eastAsia" w:ascii="Times New Roman" w:hAnsi="Times New Roman" w:eastAsia="仿宋_GB2312"/>
          <w:lang w:val="en-US" w:eastAsia="zh-CN"/>
        </w:rPr>
        <w:t xml:space="preserve"> 本措施自</w:t>
      </w:r>
      <w:r>
        <w:rPr>
          <w:rFonts w:hint="eastAsia" w:ascii="仿宋_GB2312" w:hAnsi="仿宋_GB2312" w:cs="仿宋_GB2312"/>
          <w:highlight w:val="none"/>
          <w:lang w:val="en-US" w:eastAsia="zh-CN"/>
        </w:rPr>
        <w:t>XXXX年XX月XX日</w:t>
      </w:r>
      <w:r>
        <w:rPr>
          <w:rFonts w:hint="eastAsia" w:ascii="仿宋_GB2312" w:hAnsi="仿宋_GB2312" w:eastAsia="仿宋_GB2312" w:cs="仿宋_GB2312"/>
          <w:lang w:val="en-US" w:eastAsia="zh-CN"/>
        </w:rPr>
        <w:t>起施行，有效期 3 年。由深圳市光明区文化广电旅</w:t>
      </w:r>
      <w:r>
        <w:rPr>
          <w:rFonts w:hint="eastAsia" w:ascii="Times New Roman" w:hAnsi="Times New Roman" w:eastAsia="仿宋_GB2312"/>
          <w:lang w:val="en-US" w:eastAsia="zh-CN"/>
        </w:rPr>
        <w:t>游体育局负责</w:t>
      </w:r>
      <w:r>
        <w:rPr>
          <w:rFonts w:hint="eastAsia"/>
          <w:lang w:val="en-US" w:eastAsia="zh-CN"/>
        </w:rPr>
        <w:t>解释。</w:t>
      </w:r>
    </w:p>
    <w:sectPr>
      <w:footerReference r:id="rId5" w:type="default"/>
      <w:pgSz w:w="11906" w:h="16839"/>
      <w:pgMar w:top="2098" w:right="1474" w:bottom="1984" w:left="1587" w:header="850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07D62C-CF7A-4559-9844-8A9A021CC5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80E9A4-55A4-4B55-BFF8-A1E421C2E9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DAAD021-D57F-4435-839C-A1CB020AF95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299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WIwMTg0MThlZmVkM2U2YzRhZTVlYzY4N2Y5ZGMifQ=="/>
  </w:docVars>
  <w:rsids>
    <w:rsidRoot w:val="5B414826"/>
    <w:rsid w:val="005D0046"/>
    <w:rsid w:val="00656641"/>
    <w:rsid w:val="01277748"/>
    <w:rsid w:val="02A91DA6"/>
    <w:rsid w:val="030D4AC8"/>
    <w:rsid w:val="0321400D"/>
    <w:rsid w:val="03496B61"/>
    <w:rsid w:val="05C1367C"/>
    <w:rsid w:val="064E126A"/>
    <w:rsid w:val="06506E5A"/>
    <w:rsid w:val="0CBF6838"/>
    <w:rsid w:val="10C771F4"/>
    <w:rsid w:val="11AC7198"/>
    <w:rsid w:val="14883E57"/>
    <w:rsid w:val="17F23A82"/>
    <w:rsid w:val="187410C9"/>
    <w:rsid w:val="194C4CA0"/>
    <w:rsid w:val="19CD1E14"/>
    <w:rsid w:val="1C0F3C96"/>
    <w:rsid w:val="1D185750"/>
    <w:rsid w:val="1E7C4D29"/>
    <w:rsid w:val="1EC37822"/>
    <w:rsid w:val="1F951D22"/>
    <w:rsid w:val="1FAB46F7"/>
    <w:rsid w:val="20837D28"/>
    <w:rsid w:val="22311C64"/>
    <w:rsid w:val="22364E30"/>
    <w:rsid w:val="22CA041E"/>
    <w:rsid w:val="237138FF"/>
    <w:rsid w:val="23B86930"/>
    <w:rsid w:val="2445710C"/>
    <w:rsid w:val="25827825"/>
    <w:rsid w:val="262F0C6E"/>
    <w:rsid w:val="26852BE0"/>
    <w:rsid w:val="27155FD0"/>
    <w:rsid w:val="2807217D"/>
    <w:rsid w:val="2A5E108E"/>
    <w:rsid w:val="2CAF6831"/>
    <w:rsid w:val="2D4973DC"/>
    <w:rsid w:val="2EA77FA9"/>
    <w:rsid w:val="2FD34873"/>
    <w:rsid w:val="30501746"/>
    <w:rsid w:val="34C2713A"/>
    <w:rsid w:val="38FD240B"/>
    <w:rsid w:val="3AFB7D0E"/>
    <w:rsid w:val="3B840CB4"/>
    <w:rsid w:val="3C7D481B"/>
    <w:rsid w:val="3CDFB8E8"/>
    <w:rsid w:val="3F9E2286"/>
    <w:rsid w:val="410276BA"/>
    <w:rsid w:val="41B95348"/>
    <w:rsid w:val="44EE0B22"/>
    <w:rsid w:val="464E0A98"/>
    <w:rsid w:val="470B61DD"/>
    <w:rsid w:val="478979FD"/>
    <w:rsid w:val="504B1ED2"/>
    <w:rsid w:val="53CB315F"/>
    <w:rsid w:val="54183203"/>
    <w:rsid w:val="557D7DDB"/>
    <w:rsid w:val="560E7E3B"/>
    <w:rsid w:val="562341D8"/>
    <w:rsid w:val="56D42182"/>
    <w:rsid w:val="59792AEC"/>
    <w:rsid w:val="59E945A5"/>
    <w:rsid w:val="5B414826"/>
    <w:rsid w:val="5B8A6E60"/>
    <w:rsid w:val="5CAF05F7"/>
    <w:rsid w:val="5DDF06BF"/>
    <w:rsid w:val="5EEF9B7D"/>
    <w:rsid w:val="5FB71F69"/>
    <w:rsid w:val="62B44D7C"/>
    <w:rsid w:val="62E72433"/>
    <w:rsid w:val="63961BE0"/>
    <w:rsid w:val="64837576"/>
    <w:rsid w:val="658A2F16"/>
    <w:rsid w:val="65CC5D02"/>
    <w:rsid w:val="672411DD"/>
    <w:rsid w:val="67BE1FEE"/>
    <w:rsid w:val="69F632C8"/>
    <w:rsid w:val="6C7F158F"/>
    <w:rsid w:val="6CAA4603"/>
    <w:rsid w:val="6EF370DC"/>
    <w:rsid w:val="72D466F0"/>
    <w:rsid w:val="747F2966"/>
    <w:rsid w:val="75625BED"/>
    <w:rsid w:val="771C067A"/>
    <w:rsid w:val="77323543"/>
    <w:rsid w:val="7B203B12"/>
    <w:rsid w:val="7B8F7843"/>
    <w:rsid w:val="7D2B5066"/>
    <w:rsid w:val="7DA0505C"/>
    <w:rsid w:val="7E1D625C"/>
    <w:rsid w:val="7F840B7C"/>
    <w:rsid w:val="7FD54E08"/>
    <w:rsid w:val="D54B98A7"/>
    <w:rsid w:val="F89B43C1"/>
    <w:rsid w:val="FD875237"/>
    <w:rsid w:val="FDFB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kern w:val="0"/>
      <w:sz w:val="32"/>
      <w:szCs w:val="21"/>
    </w:rPr>
  </w:style>
  <w:style w:type="paragraph" w:styleId="2">
    <w:name w:val="heading 1"/>
    <w:basedOn w:val="1"/>
    <w:next w:val="1"/>
    <w:link w:val="16"/>
    <w:qFormat/>
    <w:uiPriority w:val="0"/>
    <w:pPr>
      <w:spacing w:before="50" w:beforeLines="50" w:beforeAutospacing="0" w:after="50" w:afterLines="50" w:afterAutospacing="0"/>
      <w:jc w:val="both"/>
      <w:outlineLvl w:val="0"/>
    </w:pPr>
    <w:rPr>
      <w:rFonts w:hint="eastAsia" w:ascii="宋体" w:hAnsi="宋体" w:eastAsia="黑体" w:cs="宋体"/>
      <w:bCs/>
      <w:color w:val="000000" w:themeColor="text1"/>
      <w:kern w:val="44"/>
      <w:szCs w:val="48"/>
      <w:lang w:bidi="ar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50" w:beforeLines="50" w:after="50" w:afterLines="50" w:line="560" w:lineRule="exact"/>
      <w:ind w:firstLine="723" w:firstLineChars="200"/>
      <w:outlineLvl w:val="1"/>
    </w:pPr>
    <w:rPr>
      <w:rFonts w:ascii="Times New Roman" w:hAnsi="Times New Roman" w:eastAsia="楷体_GB2312" w:cstheme="majorBidi"/>
      <w:bCs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560" w:lineRule="exact"/>
      <w:outlineLvl w:val="2"/>
    </w:pPr>
    <w:rPr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方正仿宋_GB2312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Lines="0" w:afterAutospacing="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link w:val="15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360" w:lineRule="exact"/>
      <w:ind w:left="0" w:right="0" w:firstLine="420" w:firstLineChars="200"/>
      <w:jc w:val="left"/>
    </w:pPr>
    <w:rPr>
      <w:rFonts w:ascii="Times New Roman" w:hAnsi="Times New Roman" w:eastAsia="仿宋_GB2312" w:cs="Times New Roman"/>
      <w:sz w:val="18"/>
      <w:szCs w:val="18"/>
      <w:lang w:bidi="ar"/>
    </w:rPr>
  </w:style>
  <w:style w:type="paragraph" w:styleId="12">
    <w:name w:val="Body Text First Indent 2"/>
    <w:basedOn w:val="8"/>
    <w:qFormat/>
    <w:uiPriority w:val="0"/>
    <w:pPr>
      <w:ind w:left="0" w:leftChars="0" w:firstLine="420" w:firstLineChars="200"/>
    </w:pPr>
  </w:style>
  <w:style w:type="character" w:customStyle="1" w:styleId="15">
    <w:name w:val="脚注文本 字符"/>
    <w:basedOn w:val="14"/>
    <w:link w:val="11"/>
    <w:qFormat/>
    <w:uiPriority w:val="0"/>
    <w:rPr>
      <w:rFonts w:hint="default" w:ascii="Times New Roman" w:hAnsi="Times New Roman" w:eastAsia="仿宋_GB2312" w:cs="Times New Roman"/>
      <w:sz w:val="18"/>
      <w:szCs w:val="18"/>
    </w:rPr>
  </w:style>
  <w:style w:type="character" w:customStyle="1" w:styleId="16">
    <w:name w:val="标题 1 字符"/>
    <w:basedOn w:val="14"/>
    <w:link w:val="2"/>
    <w:qFormat/>
    <w:uiPriority w:val="0"/>
    <w:rPr>
      <w:rFonts w:ascii="宋体" w:hAnsi="宋体" w:eastAsia="黑体" w:cs="宋体"/>
      <w:bCs/>
      <w:color w:val="000000" w:themeColor="text1"/>
      <w:kern w:val="44"/>
      <w:sz w:val="32"/>
      <w:szCs w:val="21"/>
      <w14:textFill>
        <w14:solidFill>
          <w14:schemeClr w14:val="tx1"/>
        </w14:solidFill>
      </w14:textFill>
    </w:rPr>
  </w:style>
  <w:style w:type="character" w:customStyle="1" w:styleId="17">
    <w:name w:val="标题 2 字符"/>
    <w:basedOn w:val="14"/>
    <w:link w:val="3"/>
    <w:qFormat/>
    <w:uiPriority w:val="0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8">
    <w:name w:val="标题 3 Char"/>
    <w:link w:val="4"/>
    <w:qFormat/>
    <w:uiPriority w:val="0"/>
    <w:rPr>
      <w:rFonts w:ascii="Times New Roman" w:hAnsi="Times New Roman" w:eastAsia="仿宋_GB2312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2023-08-12T19:16:00Z</dcterms:created>
  <dc:creator>李海娟</dc:creator>
  <cp:lastModifiedBy>如</cp:lastModifiedBy>
  <dcterms:modified xsi:type="dcterms:W3CDTF">2023-11-17T13:18:02Z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3EE91DA950EA49029C96711C0435E730_13</vt:lpwstr>
  </property>
</Properties>
</file>