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仿宋_GB2312" w:eastAsia="仿宋_GB2312"/>
          <w:color w:val="auto"/>
          <w:sz w:val="28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28"/>
          <w:szCs w:val="22"/>
          <w:highlight w:val="none"/>
          <w:u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1844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大标宋简体" w:cs="方正大标宋简体"/>
          <w:b w:val="0"/>
          <w:bCs/>
          <w:color w:val="auto"/>
          <w:sz w:val="44"/>
          <w:szCs w:val="44"/>
          <w:lang w:val="en-US" w:eastAsia="zh-CN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________________________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全称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highlight w:val="none"/>
          <w:lang w:val="en-US" w:eastAsia="zh-CN"/>
        </w:rPr>
        <w:t>就申请</w:t>
      </w:r>
      <w:r>
        <w:rPr>
          <w:rFonts w:hint="eastAsia" w:ascii="仿宋_GB2312" w:eastAsia="仿宋_GB2312"/>
          <w:color w:val="auto"/>
          <w:sz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中央外经贸发展专项资金（应对贸易摩擦事项）入库项目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highlight w:val="none"/>
          <w:lang w:val="en-US" w:eastAsia="zh-CN"/>
        </w:rPr>
        <w:t>郑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重声明如下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保证本司是合法经营企业，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具有健全的财务核算与管理制度，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遵守财经制度和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专项资金管理制度，</w:t>
      </w:r>
      <w:r>
        <w:rPr>
          <w:rFonts w:hint="default" w:eastAsia="仿宋_GB2312"/>
          <w:color w:val="auto"/>
          <w:kern w:val="0"/>
          <w:sz w:val="32"/>
        </w:rPr>
        <w:t>近</w:t>
      </w:r>
      <w:r>
        <w:rPr>
          <w:rFonts w:hint="eastAsia" w:eastAsia="仿宋_GB2312"/>
          <w:color w:val="auto"/>
          <w:kern w:val="0"/>
          <w:sz w:val="32"/>
          <w:lang w:eastAsia="zh-CN"/>
        </w:rPr>
        <w:t>三</w:t>
      </w:r>
      <w:r>
        <w:rPr>
          <w:rFonts w:hint="default" w:eastAsia="仿宋_GB2312"/>
          <w:color w:val="auto"/>
          <w:kern w:val="0"/>
          <w:sz w:val="32"/>
        </w:rPr>
        <w:t>年无发生严重违法违规行为，无拖欠应缴付财政款项</w:t>
      </w:r>
      <w:r>
        <w:rPr>
          <w:rFonts w:hint="eastAsia" w:eastAsia="仿宋_GB2312"/>
          <w:color w:val="auto"/>
          <w:kern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保证本司所提交的研究报告所涉内容未曾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获得本专项资金资助。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</w:rPr>
        <w:t>保证</w:t>
      </w:r>
      <w:r>
        <w:rPr>
          <w:rFonts w:hint="eastAsia" w:eastAsia="仿宋_GB2312"/>
          <w:color w:val="auto"/>
          <w:kern w:val="0"/>
          <w:sz w:val="32"/>
          <w:lang w:eastAsia="zh-CN"/>
        </w:rPr>
        <w:t>本司</w:t>
      </w:r>
      <w:r>
        <w:rPr>
          <w:rFonts w:hint="default" w:eastAsia="仿宋_GB2312"/>
          <w:color w:val="auto"/>
          <w:kern w:val="0"/>
          <w:sz w:val="32"/>
        </w:rPr>
        <w:t>所提交的</w:t>
      </w:r>
      <w:r>
        <w:rPr>
          <w:rFonts w:hint="eastAsia" w:eastAsia="仿宋_GB2312"/>
          <w:color w:val="auto"/>
          <w:kern w:val="0"/>
          <w:sz w:val="32"/>
          <w:lang w:eastAsia="zh-CN"/>
        </w:rPr>
        <w:t>申报材料完整、</w:t>
      </w:r>
      <w:r>
        <w:rPr>
          <w:rFonts w:hint="default" w:eastAsia="仿宋_GB2312"/>
          <w:color w:val="auto"/>
          <w:kern w:val="0"/>
          <w:sz w:val="32"/>
        </w:rPr>
        <w:t>真实、准确、有效；</w:t>
      </w:r>
      <w:r>
        <w:rPr>
          <w:rFonts w:hint="eastAsia" w:eastAsia="仿宋_GB2312"/>
          <w:color w:val="auto"/>
          <w:kern w:val="0"/>
          <w:sz w:val="32"/>
          <w:lang w:eastAsia="zh-CN"/>
        </w:rPr>
        <w:t>所提供的复印件与原件一致；</w:t>
      </w:r>
      <w:r>
        <w:rPr>
          <w:rFonts w:hint="default" w:eastAsia="仿宋_GB2312"/>
          <w:color w:val="auto"/>
          <w:kern w:val="0"/>
          <w:sz w:val="32"/>
        </w:rPr>
        <w:t>所提供的企业名称外文翻译真实规范；</w:t>
      </w:r>
      <w:r>
        <w:rPr>
          <w:rFonts w:hint="eastAsia" w:eastAsia="仿宋_GB2312"/>
          <w:color w:val="auto"/>
          <w:kern w:val="0"/>
          <w:sz w:val="32"/>
          <w:lang w:eastAsia="zh-CN"/>
        </w:rPr>
        <w:t>所</w:t>
      </w:r>
      <w:r>
        <w:rPr>
          <w:rFonts w:hint="default" w:eastAsia="仿宋_GB2312"/>
          <w:color w:val="auto"/>
          <w:kern w:val="0"/>
          <w:sz w:val="32"/>
        </w:rPr>
        <w:t>提供的中文翻译与外文原件内容一致。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知晓广东省商务厅将视预算安排和申报情况，对资助金额、支持比例和拨付进度等进行统一调整，本司无条件接受调整结果。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同意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接受有关部门为审核本申请而进行的必要核查，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配合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接受专项资金使用的绩效评价和检查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instrText xml:space="preserve"> HYPERLINK "http://www.zaidian.com/fanwen/mishuxingzheng/gongzuojihua/" \t "http://www.zaidian.com/show/_blank"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商务主管部门的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要求提供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本</w:t>
      </w:r>
      <w:r>
        <w:rPr>
          <w:rFonts w:hint="default" w:eastAsia="仿宋_GB2312" w:cs="Times New Roman"/>
          <w:b w:val="0"/>
          <w:bCs w:val="0"/>
          <w:color w:val="auto"/>
          <w:kern w:val="0"/>
          <w:sz w:val="32"/>
          <w:u w:val="none"/>
          <w:lang w:val="en-US" w:eastAsia="zh-CN"/>
        </w:rPr>
        <w:t>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（行业）的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相关信息和统计数据</w:t>
      </w:r>
      <w:r>
        <w:rPr>
          <w:rStyle w:val="7"/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footnoteReference w:id="0" w:customMarkFollows="1"/>
        <w:t>*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如违背上述承诺，承担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由此产生的法律责任和后果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        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代表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        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/>
          <w:lang w:val="en-U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            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年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月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 xml:space="preserve">   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lang w:val="en-US" w:eastAsia="zh-CN"/>
        </w:rPr>
        <w:t>日</w:t>
      </w: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DFC379-357E-48B5-9647-549F079710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47FC8BC-D983-48F3-925C-3BD77947FD41}"/>
  </w:font>
  <w:font w:name="方正大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9EE0669-5188-42E1-B7B0-DF32719B7B4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  <w:snapToGrid w:val="0"/>
        <w:rPr>
          <w:rFonts w:hint="eastAsia"/>
          <w:lang w:eastAsia="zh-CN"/>
        </w:rPr>
      </w:pPr>
      <w:r>
        <w:rPr>
          <w:rStyle w:val="7"/>
        </w:rPr>
        <w:t>*</w:t>
      </w:r>
      <w:r>
        <w:t xml:space="preserve"> </w:t>
      </w:r>
      <w:r>
        <w:rPr>
          <w:rFonts w:hint="eastAsia"/>
          <w:lang w:eastAsia="zh-CN"/>
        </w:rPr>
        <w:t>有关数据和信息仅用于我省贸易摩擦应对研究，将严格进行数据和信息的保密。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ZmI2N2IzMDU1YTRiYTdjMDNmNWVlY2E1ZjljYzMifQ=="/>
  </w:docVars>
  <w:rsids>
    <w:rsidRoot w:val="14713FF9"/>
    <w:rsid w:val="14713FF9"/>
    <w:rsid w:val="4150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418</Characters>
  <Lines>0</Lines>
  <Paragraphs>0</Paragraphs>
  <TotalTime>13</TotalTime>
  <ScaleCrop>false</ScaleCrop>
  <LinksUpToDate>false</LinksUpToDate>
  <CharactersWithSpaces>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2023-01-28T06:50:00Z</dcterms:created>
  <dc:creator>陈晓凤</dc:creator>
  <cp:lastModifiedBy>陈晓凤</cp:lastModifiedBy>
  <dcterms:modified xsi:type="dcterms:W3CDTF">2023-01-28T07:33:39Z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ECF71128B96A4238B7BD8500D7AFA20E</vt:lpwstr>
  </property>
</Properties>
</file>