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shd w:val="clear" w:color="auto" w:fill="auto"/>
        <w:kinsoku/>
        <w:overflowPunct/>
        <w:topLinePunct w:val="0"/>
        <w:autoSpaceDN/>
        <w:bidi w:val="0"/>
        <w:adjustRightInd w:val="0"/>
        <w:snapToGrid w:val="0"/>
        <w:spacing w:before="0" w:beforeLines="0" w:beforeAutospacing="0" w:after="0" w:afterLines="0" w:afterAutospacing="0" w:line="590" w:lineRule="exact"/>
        <w:ind w:leftChars="0" w:right="0" w:rightChars="0" w:firstLine="0" w:firstLineChars="0"/>
        <w:jc w:val="both"/>
        <w:textAlignment w:val="auto"/>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附件1</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snapToGrid w:val="0"/>
          <w:color w:val="auto"/>
          <w:spacing w:val="0"/>
          <w:kern w:val="0"/>
          <w:sz w:val="32"/>
          <w:szCs w:val="32"/>
          <w:highlight w:val="none"/>
          <w:lang w:val="en-US" w:eastAsia="zh-CN"/>
        </w:rPr>
      </w:pP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0" w:firstLineChars="0"/>
        <w:jc w:val="center"/>
        <w:textAlignment w:val="auto"/>
        <w:rPr>
          <w:rFonts w:hint="eastAsia" w:ascii="方正小标宋简体" w:hAnsi="方正小标宋简体" w:eastAsia="方正小标宋简体" w:cs="方正小标宋简体"/>
          <w:caps w:val="0"/>
          <w:snapToGrid w:val="0"/>
          <w:color w:val="auto"/>
          <w:spacing w:val="0"/>
          <w:kern w:val="0"/>
          <w:sz w:val="44"/>
          <w:szCs w:val="44"/>
          <w:highlight w:val="none"/>
          <w:lang w:val="en-US" w:eastAsia="zh-CN"/>
        </w:rPr>
      </w:pPr>
      <w:r>
        <w:rPr>
          <w:rFonts w:hint="eastAsia" w:ascii="方正小标宋简体" w:hAnsi="方正小标宋简体" w:eastAsia="方正小标宋简体" w:cs="方正小标宋简体"/>
          <w:caps w:val="0"/>
          <w:snapToGrid w:val="0"/>
          <w:color w:val="auto"/>
          <w:spacing w:val="0"/>
          <w:kern w:val="0"/>
          <w:sz w:val="44"/>
          <w:szCs w:val="44"/>
          <w:highlight w:val="none"/>
          <w:lang w:val="en-US" w:eastAsia="zh-CN"/>
        </w:rPr>
        <w:t>2023年省级种业振兴行动专项资金项目</w:t>
      </w:r>
    </w:p>
    <w:p>
      <w:pPr>
        <w:keepNext w:val="0"/>
        <w:keepLines w:val="0"/>
        <w:pageBreakBefore w:val="0"/>
        <w:widowControl w:val="0"/>
        <w:kinsoku/>
        <w:overflowPunct/>
        <w:topLinePunct w:val="0"/>
        <w:autoSpaceDE/>
        <w:autoSpaceDN/>
        <w:bidi w:val="0"/>
        <w:adjustRightInd w:val="0"/>
        <w:snapToGrid w:val="0"/>
        <w:spacing w:beforeLines="0" w:afterLines="0" w:line="590" w:lineRule="exact"/>
        <w:ind w:right="0" w:rightChars="0" w:firstLine="0" w:firstLineChars="0"/>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aps w:val="0"/>
          <w:snapToGrid w:val="0"/>
          <w:color w:val="auto"/>
          <w:spacing w:val="0"/>
          <w:kern w:val="0"/>
          <w:sz w:val="44"/>
          <w:szCs w:val="44"/>
          <w:highlight w:val="none"/>
          <w:lang w:val="en-US" w:eastAsia="zh-CN"/>
        </w:rPr>
        <w:t>入库申报指南</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w:t>
      </w:r>
      <w:r>
        <w:rPr>
          <w:rFonts w:hint="eastAsia" w:ascii="黑体" w:hAnsi="黑体" w:eastAsia="黑体" w:cs="黑体"/>
          <w:color w:val="auto"/>
          <w:kern w:val="0"/>
          <w:sz w:val="32"/>
          <w:szCs w:val="32"/>
          <w:highlight w:val="none"/>
          <w:lang w:val="en-US" w:eastAsia="zh-CN"/>
        </w:rPr>
        <w:t>资源保护类</w:t>
      </w:r>
      <w:r>
        <w:rPr>
          <w:rFonts w:hint="eastAsia" w:ascii="黑体" w:hAnsi="黑体" w:eastAsia="黑体" w:cs="黑体"/>
          <w:color w:val="auto"/>
          <w:kern w:val="0"/>
          <w:sz w:val="32"/>
          <w:szCs w:val="32"/>
          <w:highlight w:val="none"/>
        </w:rPr>
        <w:t>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1.农作物种质资源库（圃、区、点）运行维护</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（1）项目需求</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根据省种业振兴行动实施方案和《广东省农业种质资源保护与利用中长期发展规划（2021-2035年）》的部署要求，2023年拟挑选一批地方特色明显、种质资源收集齐全、保护条件较好的农作物</w:t>
      </w:r>
      <w:r>
        <w:rPr>
          <w:rFonts w:hint="eastAsia" w:ascii="仿宋_GB2312" w:hAnsi="仿宋_GB2312" w:eastAsia="仿宋_GB2312" w:cs="仿宋_GB2312"/>
          <w:color w:val="auto"/>
          <w:kern w:val="0"/>
          <w:sz w:val="32"/>
          <w:szCs w:val="32"/>
          <w:highlight w:val="none"/>
          <w:lang w:val="en-US" w:eastAsia="zh-CN" w:bidi="ar-SA"/>
        </w:rPr>
        <w:t>种质资源库、种质资源圃、原生境保护区（点）</w:t>
      </w:r>
      <w:r>
        <w:rPr>
          <w:rFonts w:hint="eastAsia" w:ascii="仿宋_GB2312" w:hAnsi="仿宋_GB2312" w:eastAsia="仿宋_GB2312" w:cs="仿宋_GB2312"/>
          <w:color w:val="auto"/>
          <w:kern w:val="0"/>
          <w:sz w:val="32"/>
          <w:szCs w:val="32"/>
          <w:highlight w:val="none"/>
          <w:lang w:val="en-US" w:eastAsia="zh-CN"/>
        </w:rPr>
        <w:t>，给予</w:t>
      </w:r>
      <w:r>
        <w:rPr>
          <w:rFonts w:hint="eastAsia" w:ascii="仿宋_GB2312" w:hAnsi="仿宋_GB2312" w:eastAsia="仿宋_GB2312" w:cs="仿宋_GB2312"/>
          <w:color w:val="auto"/>
          <w:kern w:val="0"/>
          <w:sz w:val="32"/>
          <w:szCs w:val="32"/>
          <w:highlight w:val="none"/>
          <w:lang w:val="en-US" w:eastAsia="zh-CN" w:bidi="ar-SA"/>
        </w:rPr>
        <w:t>日常管理和运行维护资金</w:t>
      </w:r>
      <w:r>
        <w:rPr>
          <w:rFonts w:hint="eastAsia" w:ascii="仿宋_GB2312" w:hAnsi="仿宋_GB2312" w:eastAsia="仿宋_GB2312" w:cs="仿宋_GB2312"/>
          <w:color w:val="auto"/>
          <w:kern w:val="0"/>
          <w:sz w:val="32"/>
          <w:szCs w:val="32"/>
          <w:highlight w:val="none"/>
          <w:lang w:val="en-US" w:eastAsia="zh-CN"/>
        </w:rPr>
        <w:t>补助。</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lang w:eastAsia="zh-CN"/>
        </w:rPr>
        <w:t>）申报范围</w:t>
      </w:r>
    </w:p>
    <w:p>
      <w:pPr>
        <w:pStyle w:val="2"/>
        <w:keepNext w:val="0"/>
        <w:keepLines w:val="0"/>
        <w:pageBreakBefore w:val="0"/>
        <w:kinsoku/>
        <w:overflowPunct/>
        <w:topLinePunct w:val="0"/>
        <w:autoSpaceDN/>
        <w:bidi w:val="0"/>
        <w:adjustRightInd w:val="0"/>
        <w:snapToGrid w:val="0"/>
        <w:spacing w:beforeLines="0" w:after="0" w:line="590" w:lineRule="exact"/>
        <w:ind w:left="0" w:leftChars="0"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围绕地方特色农作物种质资源保护，本次拟补助申报范围包括南药（春砂仁、化橘红）、药用野生稻、海水稻、三华李等特色农作物种质资源库、种质资源圃、原生境保护区（点），开展资源补充收集和初步鉴评。</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3）绩效目标</w:t>
      </w:r>
    </w:p>
    <w:p>
      <w:pPr>
        <w:pStyle w:val="2"/>
        <w:keepNext w:val="0"/>
        <w:keepLines w:val="0"/>
        <w:pageBreakBefore w:val="0"/>
        <w:kinsoku/>
        <w:overflowPunct/>
        <w:topLinePunct w:val="0"/>
        <w:autoSpaceDN/>
        <w:bidi w:val="0"/>
        <w:adjustRightInd w:val="0"/>
        <w:snapToGrid w:val="0"/>
        <w:spacing w:beforeLines="0" w:after="0" w:line="59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实现对特色农作物种质资源库、种质资源圃、原生境保护区（点）正常运行维护，确保种质资源安全保存，种质资源数量不减少。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①申报主体为具有条件、有振兴种业意愿的企事业单位。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②申报主体具有农作物种质资源保护工作基础，具备足够的专业技术人员，按照种质资源库（圃、区、点）实际面积进行申报。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项目实施周期为1年。补助</w:t>
      </w:r>
      <w:r>
        <w:rPr>
          <w:rFonts w:hint="eastAsia" w:ascii="仿宋_GB2312" w:hAnsi="仿宋_GB2312" w:eastAsia="仿宋_GB2312" w:cs="仿宋_GB2312"/>
          <w:color w:val="auto"/>
          <w:kern w:val="0"/>
          <w:sz w:val="32"/>
          <w:szCs w:val="32"/>
          <w:highlight w:val="none"/>
          <w:lang w:eastAsia="zh-CN"/>
        </w:rPr>
        <w:t>资金额度如下：申报</w:t>
      </w:r>
      <w:r>
        <w:rPr>
          <w:rFonts w:hint="eastAsia" w:ascii="仿宋_GB2312" w:hAnsi="仿宋_GB2312" w:eastAsia="仿宋_GB2312" w:cs="仿宋_GB2312"/>
          <w:color w:val="auto"/>
          <w:kern w:val="0"/>
          <w:sz w:val="32"/>
          <w:szCs w:val="32"/>
          <w:highlight w:val="none"/>
          <w:lang w:val="en-US" w:eastAsia="zh-CN"/>
        </w:rPr>
        <w:t>种质资源库的，冷库面积≥200平方米+10亩轮繁基地的，补助资金额度为100万元；冷库面积＜200平方米+10亩轮繁基地的，补助资金额度为40万元；申报种质资源圃（区、点）的，面积≥40亩，补助资金额度为40万元；20亩≤面积&lt;40亩，补助资金额度为30万元；面积&lt;20亩，补助资金额度为10万元。项目申报</w:t>
      </w:r>
      <w:r>
        <w:rPr>
          <w:rFonts w:hint="eastAsia" w:ascii="仿宋_GB2312" w:hAnsi="仿宋_GB2312" w:eastAsia="仿宋_GB2312" w:cs="仿宋_GB2312"/>
          <w:color w:val="auto"/>
          <w:kern w:val="0"/>
          <w:sz w:val="32"/>
          <w:szCs w:val="32"/>
          <w:highlight w:val="none"/>
          <w:lang w:eastAsia="zh-CN"/>
        </w:rPr>
        <w:t>主体需根据实际需求自行测算项目需求金额，</w:t>
      </w:r>
      <w:r>
        <w:rPr>
          <w:rFonts w:hint="eastAsia" w:ascii="仿宋_GB2312" w:hAnsi="仿宋_GB2312" w:eastAsia="仿宋_GB2312" w:cs="仿宋_GB2312"/>
          <w:color w:val="auto"/>
          <w:kern w:val="0"/>
          <w:sz w:val="32"/>
          <w:szCs w:val="32"/>
          <w:highlight w:val="none"/>
          <w:lang w:val="en-US" w:eastAsia="zh-CN" w:bidi="ar"/>
        </w:rPr>
        <w:t>申报书设定的项目需求金额应提供资金测算过程及测算依据，</w:t>
      </w:r>
      <w:r>
        <w:rPr>
          <w:rFonts w:hint="eastAsia" w:ascii="仿宋_GB2312" w:hAnsi="仿宋_GB2312" w:eastAsia="仿宋_GB2312" w:cs="仿宋_GB2312"/>
          <w:color w:val="auto"/>
          <w:kern w:val="0"/>
          <w:sz w:val="32"/>
          <w:szCs w:val="32"/>
          <w:highlight w:val="none"/>
          <w:lang w:eastAsia="zh-CN"/>
        </w:rPr>
        <w:t>项目预算金额测算是否详细、可行、有佐证依据将纳入评审</w:t>
      </w:r>
      <w:r>
        <w:rPr>
          <w:rFonts w:hint="eastAsia" w:ascii="仿宋_GB2312" w:hAnsi="仿宋_GB2312" w:eastAsia="仿宋_GB2312" w:cs="仿宋_GB2312"/>
          <w:color w:val="auto"/>
          <w:kern w:val="0"/>
          <w:sz w:val="32"/>
          <w:szCs w:val="32"/>
          <w:highlight w:val="none"/>
          <w:lang w:val="en-US" w:eastAsia="zh-CN"/>
        </w:rPr>
        <w:t>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2.疑是新（濒危）畜禽遗传资源抢救性保护场建设</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（1）项目需求</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依据《畜牧法》和种业振兴行动实施方案有关规定，以及《广东省农业种质资源保护与利用中长期发展规划（2021-2035年）》的部署要求，加快对第三次全国农业种质资源普查中新发现的粤西卷羽鸡、阳江鹅、阳春白鹅、大花白猪、罗坑鸡、五华三黄鸡、广东水牛等疑是新（濒危）畜禽遗传资源进行抢救性保护。择优支持新建或改扩建一批畜禽遗传资源保种场。鼓励有条件、有长期投入公益性工作意愿的优势企业或事业单位承担资源保护任务。</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（2）建设内容</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对疑是新（濒危）畜禽遗传资源实施抢救性收集，对筛选收集到的新（濒危）资源进行初步鉴定，组建资源保种核心种群，组织开展生产性能测定和精准鉴评工作，搭建资源保种核心群数据库，构建完成资源保种核心群系谱档案。新建或改扩建标准化畜禽棚舍、遗传材料保存库、质量检测室、技术研究室、资料档案室等；完善保种场疫病监测净化、防疫、病死畜禽无害化处理等设施设备。    </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（3）绩效目标</w:t>
      </w:r>
    </w:p>
    <w:p>
      <w:pPr>
        <w:numPr>
          <w:ilvl w:val="0"/>
          <w:numId w:val="0"/>
        </w:numPr>
        <w:spacing w:line="590" w:lineRule="exact"/>
        <w:ind w:firstLine="0" w:firstLineChars="0"/>
        <w:rPr>
          <w:rFonts w:hint="eastAsia"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组建的资源核心种群数量达到省级畜禽遗传资源保种场核心种群数量要求（鸡：母鸡500只以上、家系不少于50个；鹅：母鹅300只以上，家系不少于30个；猪：母猪100头以上，公猪12头以上，三代之内没有血缘关系的家系数不少于6个；牛：母牛150头以上，公牛12头以上，三代内没有血缘关系的家系数不少于6个）；建设的保种场硬件条件基本达到省级畜禽遗传资源保种场建立要求，保种群要与从事种畜禽生产经营的商品群分</w:t>
      </w:r>
      <w:r>
        <w:rPr>
          <w:rFonts w:hint="eastAsia" w:ascii="仿宋_GB2312" w:hAnsi="仿宋_GB2312" w:eastAsia="仿宋_GB2312" w:cs="仿宋_GB2312"/>
          <w:color w:val="auto"/>
          <w:spacing w:val="-6"/>
          <w:kern w:val="0"/>
          <w:sz w:val="32"/>
          <w:szCs w:val="32"/>
          <w:highlight w:val="none"/>
          <w:lang w:val="en-US" w:eastAsia="zh-CN"/>
        </w:rPr>
        <w:t>开饲养，具有相对独立的养殖区域；制定出科学的保种工作方案。</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（4）申报主体与条件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①申报主体为具有条件、有振兴种业意愿的企事业单位。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②申报主体应拥有能承担保种工作的固定场所，并提供土地使用手续、设施农用地备案等佐证。具有与保种规模相适应的畜牧兽医技术人员。</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③申报主体具有较完善的项目和财务管理制度，信用记录良好。</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（5）实施周期和资金额度</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项目建设以企业投入为主体，财政支持为辅，家禽抢救性保种场每个支持不超过80万元，猪牛抢救性保种场每个支持不超过100万元。项目申报主体需根据实际需求自行测算项目需求金额，申报书设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农业微生物种质资源分库建设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default"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（1）项目需求</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根据</w:t>
      </w:r>
      <w:r>
        <w:rPr>
          <w:rFonts w:hint="eastAsia" w:ascii="仿宋_GB2312" w:hAnsi="仿宋_GB2312" w:eastAsia="仿宋_GB2312" w:cs="仿宋_GB2312"/>
          <w:color w:val="auto"/>
          <w:kern w:val="0"/>
          <w:sz w:val="32"/>
          <w:szCs w:val="32"/>
          <w:highlight w:val="none"/>
          <w:lang w:val="en-US" w:eastAsia="zh-CN"/>
        </w:rPr>
        <w:t>《广东省农业种质资源保护与利用中长期发展规划（2021-2035年）》</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2023年拟启动建设</w:t>
      </w:r>
      <w:r>
        <w:rPr>
          <w:rFonts w:hint="eastAsia" w:ascii="仿宋_GB2312" w:hAnsi="仿宋_GB2312" w:eastAsia="仿宋_GB2312" w:cs="仿宋_GB2312"/>
          <w:color w:val="auto"/>
          <w:kern w:val="0"/>
          <w:sz w:val="32"/>
          <w:szCs w:val="32"/>
          <w:highlight w:val="none"/>
        </w:rPr>
        <w:t>农业微生物种质资源保护分库</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2</w:t>
      </w:r>
      <w:r>
        <w:rPr>
          <w:rFonts w:hint="eastAsia" w:ascii="仿宋_GB2312" w:hAnsi="仿宋_GB2312" w:eastAsia="仿宋_GB2312" w:cs="仿宋_GB2312"/>
          <w:b/>
          <w:bCs/>
          <w:color w:val="auto"/>
          <w:kern w:val="0"/>
          <w:sz w:val="32"/>
          <w:szCs w:val="32"/>
          <w:highlight w:val="none"/>
          <w:lang w:eastAsia="zh-CN"/>
        </w:rPr>
        <w:t>）建设内容</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重点完善分库的保藏设施和设备条件，包括</w:t>
      </w: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eastAsia="zh-CN"/>
        </w:rPr>
        <w:t>冷冻</w:t>
      </w:r>
      <w:r>
        <w:rPr>
          <w:rFonts w:hint="eastAsia" w:ascii="仿宋_GB2312" w:hAnsi="仿宋_GB2312" w:eastAsia="仿宋_GB2312" w:cs="仿宋_GB2312"/>
          <w:color w:val="auto"/>
          <w:kern w:val="0"/>
          <w:sz w:val="32"/>
          <w:szCs w:val="32"/>
          <w:highlight w:val="none"/>
        </w:rPr>
        <w:t>干燥、-80℃甘油</w:t>
      </w:r>
      <w:r>
        <w:rPr>
          <w:rFonts w:hint="eastAsia" w:ascii="仿宋_GB2312" w:hAnsi="仿宋_GB2312" w:eastAsia="仿宋_GB2312" w:cs="仿宋_GB2312"/>
          <w:color w:val="auto"/>
          <w:kern w:val="0"/>
          <w:sz w:val="32"/>
          <w:szCs w:val="32"/>
          <w:highlight w:val="none"/>
          <w:lang w:eastAsia="zh-CN"/>
        </w:rPr>
        <w:t>保藏两</w:t>
      </w:r>
      <w:r>
        <w:rPr>
          <w:rFonts w:hint="eastAsia" w:ascii="仿宋_GB2312" w:hAnsi="仿宋_GB2312" w:eastAsia="仿宋_GB2312" w:cs="仿宋_GB2312"/>
          <w:color w:val="auto"/>
          <w:kern w:val="0"/>
          <w:sz w:val="32"/>
          <w:szCs w:val="32"/>
          <w:highlight w:val="none"/>
        </w:rPr>
        <w:t>种保存方式的条件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库容量达到</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0000株</w:t>
      </w:r>
      <w:r>
        <w:rPr>
          <w:rFonts w:hint="eastAsia" w:ascii="仿宋_GB2312" w:hAnsi="仿宋_GB2312" w:eastAsia="仿宋_GB2312" w:cs="仿宋_GB2312"/>
          <w:color w:val="auto"/>
          <w:kern w:val="0"/>
          <w:sz w:val="32"/>
          <w:szCs w:val="32"/>
          <w:highlight w:val="none"/>
          <w:lang w:eastAsia="zh-CN"/>
        </w:rPr>
        <w:t>；建立分库菌种保藏的标准化管理体系和制度；系统</w:t>
      </w:r>
      <w:r>
        <w:rPr>
          <w:rFonts w:hint="eastAsia" w:ascii="仿宋_GB2312" w:hAnsi="仿宋_GB2312" w:eastAsia="仿宋_GB2312" w:cs="仿宋_GB2312"/>
          <w:color w:val="auto"/>
          <w:kern w:val="0"/>
          <w:sz w:val="32"/>
          <w:szCs w:val="32"/>
          <w:highlight w:val="none"/>
          <w:lang w:val="en-US" w:eastAsia="zh-CN"/>
        </w:rPr>
        <w:t>开展不同种类农业微生物种质资源收集、鉴评和保护工作。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3）绩效目标</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实现库藏菌种不少于300种，</w:t>
      </w:r>
      <w:r>
        <w:rPr>
          <w:rFonts w:hint="eastAsia" w:ascii="仿宋_GB2312" w:hAnsi="仿宋_GB2312" w:eastAsia="仿宋_GB2312" w:cs="仿宋_GB2312"/>
          <w:color w:val="auto"/>
          <w:kern w:val="0"/>
          <w:sz w:val="32"/>
          <w:szCs w:val="32"/>
          <w:highlight w:val="none"/>
          <w:lang w:eastAsia="zh-CN"/>
        </w:rPr>
        <w:t>菌</w:t>
      </w:r>
      <w:r>
        <w:rPr>
          <w:rFonts w:hint="eastAsia" w:ascii="仿宋_GB2312" w:hAnsi="仿宋_GB2312" w:eastAsia="仿宋_GB2312" w:cs="仿宋_GB2312"/>
          <w:color w:val="auto"/>
          <w:kern w:val="0"/>
          <w:sz w:val="32"/>
          <w:szCs w:val="32"/>
          <w:highlight w:val="none"/>
        </w:rPr>
        <w:t>种3000株以上（</w:t>
      </w:r>
      <w:r>
        <w:rPr>
          <w:rFonts w:hint="eastAsia" w:ascii="仿宋_GB2312" w:hAnsi="仿宋_GB2312" w:eastAsia="仿宋_GB2312" w:cs="仿宋_GB2312"/>
          <w:color w:val="auto"/>
          <w:kern w:val="0"/>
          <w:sz w:val="32"/>
          <w:szCs w:val="32"/>
          <w:highlight w:val="none"/>
          <w:lang w:eastAsia="zh-CN"/>
        </w:rPr>
        <w:t>每种菌株保存</w:t>
      </w:r>
      <w:r>
        <w:rPr>
          <w:rFonts w:hint="eastAsia" w:ascii="仿宋_GB2312" w:hAnsi="仿宋_GB2312" w:eastAsia="仿宋_GB2312" w:cs="仿宋_GB2312"/>
          <w:color w:val="auto"/>
          <w:kern w:val="0"/>
          <w:sz w:val="32"/>
          <w:szCs w:val="32"/>
          <w:highlight w:val="none"/>
          <w:lang w:val="en-US" w:eastAsia="zh-CN"/>
        </w:rPr>
        <w:t>5-10份</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入库菌株信息完整并实现开放共享；</w:t>
      </w:r>
      <w:r>
        <w:rPr>
          <w:rFonts w:hint="eastAsia" w:ascii="仿宋_GB2312" w:hAnsi="仿宋_GB2312" w:eastAsia="仿宋_GB2312" w:cs="仿宋_GB2312"/>
          <w:color w:val="auto"/>
          <w:kern w:val="0"/>
          <w:sz w:val="32"/>
          <w:szCs w:val="32"/>
          <w:highlight w:val="none"/>
        </w:rPr>
        <w:t>分库资源</w:t>
      </w:r>
      <w:r>
        <w:rPr>
          <w:rFonts w:hint="eastAsia" w:ascii="仿宋_GB2312" w:hAnsi="仿宋_GB2312" w:eastAsia="仿宋_GB2312" w:cs="仿宋_GB2312"/>
          <w:color w:val="auto"/>
          <w:kern w:val="0"/>
          <w:sz w:val="32"/>
          <w:szCs w:val="32"/>
          <w:highlight w:val="none"/>
          <w:lang w:eastAsia="zh-CN"/>
        </w:rPr>
        <w:t>需</w:t>
      </w:r>
      <w:r>
        <w:rPr>
          <w:rFonts w:hint="eastAsia" w:ascii="仿宋_GB2312" w:hAnsi="仿宋_GB2312" w:eastAsia="仿宋_GB2312" w:cs="仿宋_GB2312"/>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rPr>
        <w:t>提交总库备份保藏</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FF000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具有农业微生物保藏工作基础，具备足够的专业技术人员，具有收集和挖掘农业微生物菌种能力，并配备300平方米以上的连片集中保藏场地，且冷冻干燥、超低温保藏、液氮保藏等核心库面积达到：100平方米≤面积&lt;200平方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项目实施周期为1年。每个项目支持资金额度不超过100万元。项目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w:t>
      </w:r>
      <w:r>
        <w:rPr>
          <w:rFonts w:hint="eastAsia" w:ascii="仿宋_GB2312" w:hAnsi="仿宋_GB2312" w:eastAsia="仿宋_GB2312" w:cs="仿宋_GB2312"/>
          <w:color w:val="auto"/>
          <w:kern w:val="0"/>
          <w:sz w:val="32"/>
          <w:szCs w:val="32"/>
          <w:highlight w:val="none"/>
          <w:lang w:val="en-US" w:eastAsia="zh-CN" w:bidi="ar"/>
        </w:rPr>
        <w:t>申报书设定的项目需求金额应提供资金测算过程及测算依据，</w:t>
      </w:r>
      <w:r>
        <w:rPr>
          <w:rFonts w:hint="eastAsia" w:ascii="仿宋_GB2312" w:hAnsi="仿宋_GB2312" w:eastAsia="仿宋_GB2312" w:cs="仿宋_GB2312"/>
          <w:color w:val="auto"/>
          <w:kern w:val="0"/>
          <w:sz w:val="32"/>
          <w:szCs w:val="32"/>
          <w:highlight w:val="none"/>
          <w:lang w:eastAsia="zh-CN"/>
        </w:rPr>
        <w:t>项目预算金额测算是否详细、可行、有佐证依据将纳入评审</w:t>
      </w:r>
      <w:r>
        <w:rPr>
          <w:rFonts w:hint="eastAsia" w:ascii="仿宋_GB2312" w:hAnsi="仿宋_GB2312" w:eastAsia="仿宋_GB2312" w:cs="仿宋_GB2312"/>
          <w:color w:val="auto"/>
          <w:kern w:val="0"/>
          <w:sz w:val="32"/>
          <w:szCs w:val="32"/>
          <w:highlight w:val="none"/>
          <w:lang w:val="en-US" w:eastAsia="zh-CN"/>
        </w:rPr>
        <w:t>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黑体" w:hAnsi="黑体" w:eastAsia="黑体" w:cs="黑体"/>
          <w:b/>
          <w:bCs/>
          <w:caps w:val="0"/>
          <w:color w:val="auto"/>
          <w:spacing w:val="0"/>
          <w:kern w:val="0"/>
          <w:sz w:val="32"/>
          <w:szCs w:val="32"/>
          <w:highlight w:val="none"/>
          <w:lang w:val="en-US" w:eastAsia="zh-CN"/>
        </w:rPr>
      </w:pPr>
      <w:r>
        <w:rPr>
          <w:rFonts w:hint="eastAsia" w:ascii="黑体" w:hAnsi="黑体" w:eastAsia="黑体" w:cs="黑体"/>
          <w:color w:val="auto"/>
          <w:kern w:val="0"/>
          <w:sz w:val="32"/>
          <w:szCs w:val="32"/>
          <w:highlight w:val="none"/>
        </w:rPr>
        <w:t>二、品种培育类</w:t>
      </w:r>
      <w:r>
        <w:rPr>
          <w:rFonts w:hint="eastAsia" w:ascii="黑体" w:hAnsi="黑体" w:eastAsia="黑体" w:cs="黑体"/>
          <w:color w:val="auto"/>
          <w:kern w:val="0"/>
          <w:sz w:val="32"/>
          <w:szCs w:val="32"/>
          <w:highlight w:val="none"/>
          <w:lang w:val="en-US" w:eastAsia="zh-CN"/>
        </w:rPr>
        <w:t>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1.地方特色物种育种联合攻关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（1）项目需求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贯彻落实《国家育种联合攻关总体方案》部署要求，支持我省牵头的国家荔枝、香蕉、狮头鹅等特色物种育种联合攻关。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（2）建设内容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开展我省牵头的国家荔枝、香蕉、狮头鹅等地方特色物种育种联合攻关，加快高效、优质突破性新品种（新配套系）培育。</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（3）绩效目标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荔枝：创制和发掘优异新种质10份以上，培育早熟、优质突破性新品种1-2个。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香蕉：创制和发掘优异新种质30份以上，培育抗枯萎病、营养功能型或加工专用型突破性新品种2-3个。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狮头鹅：研发基因组遗传评估体系1套，挖掘影响种鹅早期体重、饲料利用率以及繁殖等性状的关键基因2-3个和分子标记4-5个，选育狮头鹅专门化品系3个，培育狮头鹅三系配套系1个。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（4）申报主体与条件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①申报主体为《国家育种联合攻关总体方案》确定的牵头单位或首席专家所在单位牵头，联合企业共同申报。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②申报主体育种科研水平在相应领域处于全国领先地位。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③申报主体具有较完善的项目和财务管理制度，信用记录良好。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bidi="ar"/>
        </w:rPr>
      </w:pPr>
      <w:r>
        <w:rPr>
          <w:rFonts w:hint="eastAsia" w:ascii="仿宋_GB2312" w:hAnsi="仿宋_GB2312" w:eastAsia="仿宋_GB2312" w:cs="仿宋_GB2312"/>
          <w:b/>
          <w:bCs/>
          <w:caps w:val="0"/>
          <w:color w:val="auto"/>
          <w:spacing w:val="0"/>
          <w:kern w:val="0"/>
          <w:sz w:val="32"/>
          <w:szCs w:val="32"/>
          <w:highlight w:val="none"/>
          <w:lang w:val="en-US" w:eastAsia="zh-CN" w:bidi="ar"/>
        </w:rPr>
        <w:t>（5）实施周期和资金额度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原则上项目实施周期不超过3年，经年度中期评估合格的，实行滚动支持。荔枝、香蕉每年度支持资金额度不超过100万元，狮头鹅每年度支持资金额度不超过300万元。</w:t>
      </w: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w:t>
      </w:r>
      <w:r>
        <w:rPr>
          <w:rFonts w:hint="eastAsia" w:ascii="仿宋_GB2312" w:hAnsi="仿宋_GB2312" w:eastAsia="仿宋_GB2312" w:cs="仿宋_GB2312"/>
          <w:caps w:val="0"/>
          <w:color w:val="auto"/>
          <w:spacing w:val="0"/>
          <w:kern w:val="0"/>
          <w:sz w:val="32"/>
          <w:szCs w:val="32"/>
          <w:highlight w:val="none"/>
          <w:lang w:val="en-US" w:eastAsia="zh-CN" w:bidi="ar"/>
        </w:rPr>
        <w:t>申报书设定的项目需求金额应提供资金测算过程及测算依据，项目预算金额测算是否详细、可行、有佐证依据将纳入评审标准。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2.氮高效利用水稻新品种培育</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rPr>
      </w:pPr>
      <w:r>
        <w:rPr>
          <w:rFonts w:hint="eastAsia" w:ascii="仿宋_GB2312" w:hAnsi="仿宋_GB2312" w:eastAsia="仿宋_GB2312" w:cs="仿宋_GB2312"/>
          <w:b/>
          <w:caps w:val="0"/>
          <w:color w:val="auto"/>
          <w:spacing w:val="0"/>
          <w:kern w:val="0"/>
          <w:sz w:val="32"/>
          <w:szCs w:val="32"/>
          <w:highlight w:val="none"/>
          <w:lang w:val="en-US" w:eastAsia="zh-CN" w:bidi="ar"/>
        </w:rPr>
        <w:t>（1）项目需求</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支持培育比审定品种化肥投入显著减少的精准设计型先导性新品系，大幅度减少化肥使用量，实现资源高效利用，并进行大田应用示范。</w:t>
      </w:r>
    </w:p>
    <w:p>
      <w:pPr>
        <w:pStyle w:val="2"/>
        <w:keepNext w:val="0"/>
        <w:keepLines w:val="0"/>
        <w:pageBreakBefore w:val="0"/>
        <w:kinsoku/>
        <w:overflowPunct/>
        <w:topLinePunct w:val="0"/>
        <w:autoSpaceDN/>
        <w:bidi w:val="0"/>
        <w:adjustRightInd w:val="0"/>
        <w:snapToGrid w:val="0"/>
        <w:spacing w:beforeLines="0" w:after="0" w:line="590" w:lineRule="exact"/>
        <w:ind w:left="0" w:leftChars="0" w:right="0" w:rightChars="0" w:firstLine="643"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b/>
          <w:caps w:val="0"/>
          <w:color w:val="auto"/>
          <w:spacing w:val="0"/>
          <w:kern w:val="0"/>
          <w:sz w:val="32"/>
          <w:szCs w:val="32"/>
          <w:highlight w:val="none"/>
          <w:lang w:val="en-US" w:eastAsia="zh-CN" w:bidi="ar"/>
        </w:rPr>
        <w:t>（2）建设内容</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b w:val="0"/>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建立水稻氮高效评价鉴定技术体系，筛选氮高效利用水稻资源材料，设计氮高效利用关键基因的功能标记，创建氮高效育种分子设计平台，开展水稻氮高效关键性状全基因组水平选择，培育出可减少氮肥投入30%以上水稻新品系。</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eastAsia="zh-CN" w:bidi="ar"/>
        </w:rPr>
      </w:pPr>
      <w:r>
        <w:rPr>
          <w:rFonts w:hint="eastAsia" w:ascii="仿宋_GB2312" w:hAnsi="仿宋_GB2312" w:eastAsia="仿宋_GB2312" w:cs="仿宋_GB2312"/>
          <w:b/>
          <w:caps w:val="0"/>
          <w:color w:val="auto"/>
          <w:spacing w:val="0"/>
          <w:kern w:val="0"/>
          <w:sz w:val="32"/>
          <w:szCs w:val="32"/>
          <w:highlight w:val="none"/>
          <w:lang w:val="en-US" w:eastAsia="zh-CN" w:bidi="ar"/>
        </w:rPr>
        <w:t>（3）绩效目标</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完成500份水稻资源材料的重测序，筛选氮高效种质资源材料5-6份，获得以广东省主栽水稻品种为底盘的氮高效利用新种质3-4份，设计培育出可减少氮肥投入30%以上水稻新品系2-3份，并开展大田应用示范。推荐1-2个新品系参加省级区域试验。</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（4）申报主体与条件</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bidi="ar"/>
        </w:rPr>
        <w:t>①</w:t>
      </w:r>
      <w:r>
        <w:rPr>
          <w:rFonts w:hint="eastAsia" w:ascii="仿宋_GB2312" w:hAnsi="仿宋_GB2312" w:eastAsia="仿宋_GB2312" w:cs="仿宋_GB2312"/>
          <w:color w:val="auto"/>
          <w:kern w:val="0"/>
          <w:sz w:val="32"/>
          <w:szCs w:val="32"/>
          <w:highlight w:val="none"/>
          <w:lang w:val="en-US" w:eastAsia="zh-CN"/>
        </w:rPr>
        <w:t>申报主体为省级及以上事业单位。</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②申报主体在氮高效利用基础、应用基础及应用领域具有较强的科研基础。</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③申报主体具有较完善的项目和财务管理制度，信用记录良好。</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（5）实施周期和资金额度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原则上项目实施周期不超过3年，经年度中期评估合格的，实行滚动支持。每年度支持资金额度</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50万元。</w:t>
      </w: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w:t>
      </w:r>
      <w:r>
        <w:rPr>
          <w:rFonts w:hint="eastAsia" w:ascii="仿宋_GB2312" w:hAnsi="仿宋_GB2312" w:eastAsia="仿宋_GB2312" w:cs="仿宋_GB2312"/>
          <w:color w:val="auto"/>
          <w:kern w:val="0"/>
          <w:sz w:val="32"/>
          <w:szCs w:val="32"/>
          <w:highlight w:val="none"/>
          <w:lang w:val="en-US" w:eastAsia="zh-CN" w:bidi="ar"/>
        </w:rPr>
        <w:t>申报书设定的项目需求金额应提供资金测算过程及测算依据，项目预算金额测算是否详细、可行、有佐证依据将纳入评审标准。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3.耐穗发芽优质稻新品种培育</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b/>
          <w:bCs/>
          <w:snapToGrid w:val="0"/>
          <w:kern w:val="0"/>
          <w:sz w:val="32"/>
          <w:szCs w:val="32"/>
          <w:lang w:val="en-US" w:eastAsia="zh-CN"/>
        </w:rPr>
        <w:t>1</w:t>
      </w:r>
      <w:r>
        <w:rPr>
          <w:rFonts w:hint="eastAsia" w:ascii="仿宋_GB2312" w:hAnsi="仿宋_GB2312" w:eastAsia="仿宋_GB2312" w:cs="仿宋_GB2312"/>
          <w:b/>
          <w:bCs/>
          <w:snapToGrid w:val="0"/>
          <w:kern w:val="0"/>
          <w:sz w:val="32"/>
          <w:szCs w:val="32"/>
          <w:lang w:eastAsia="zh-CN"/>
        </w:rPr>
        <w:t>）</w:t>
      </w:r>
      <w:r>
        <w:rPr>
          <w:rFonts w:ascii="仿宋_GB2312" w:hAnsi="仿宋_GB2312" w:eastAsia="仿宋_GB2312" w:cs="仿宋_GB2312"/>
          <w:b/>
          <w:bCs/>
          <w:snapToGrid w:val="0"/>
          <w:kern w:val="0"/>
          <w:sz w:val="32"/>
          <w:szCs w:val="32"/>
        </w:rPr>
        <w:t>项目需求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eastAsia="zh-CN"/>
        </w:rPr>
        <w:t>支持</w:t>
      </w:r>
      <w:r>
        <w:rPr>
          <w:rFonts w:ascii="仿宋_GB2312" w:hAnsi="仿宋_GB2312" w:eastAsia="仿宋_GB2312" w:cs="仿宋_GB2312"/>
          <w:snapToGrid w:val="0"/>
          <w:kern w:val="0"/>
          <w:sz w:val="32"/>
          <w:szCs w:val="32"/>
        </w:rPr>
        <w:t>培育比审</w:t>
      </w:r>
      <w:r>
        <w:rPr>
          <w:rFonts w:hint="eastAsia" w:ascii="仿宋_GB2312" w:hAnsi="仿宋_GB2312" w:eastAsia="仿宋_GB2312" w:cs="仿宋_GB2312"/>
          <w:snapToGrid w:val="0"/>
          <w:kern w:val="0"/>
          <w:sz w:val="32"/>
          <w:szCs w:val="32"/>
          <w:lang w:eastAsia="zh-CN"/>
        </w:rPr>
        <w:t>定</w:t>
      </w:r>
      <w:r>
        <w:rPr>
          <w:rFonts w:ascii="仿宋_GB2312" w:hAnsi="仿宋_GB2312" w:eastAsia="仿宋_GB2312" w:cs="仿宋_GB2312"/>
          <w:snapToGrid w:val="0"/>
          <w:kern w:val="0"/>
          <w:sz w:val="32"/>
          <w:szCs w:val="32"/>
        </w:rPr>
        <w:t>品种耐穗发芽</w:t>
      </w:r>
      <w:r>
        <w:rPr>
          <w:rFonts w:hint="eastAsia" w:ascii="仿宋_GB2312" w:hAnsi="仿宋_GB2312" w:eastAsia="仿宋_GB2312" w:cs="仿宋_GB2312"/>
          <w:snapToGrid w:val="0"/>
          <w:kern w:val="0"/>
          <w:sz w:val="32"/>
          <w:szCs w:val="32"/>
        </w:rPr>
        <w:t>优质</w:t>
      </w:r>
      <w:r>
        <w:rPr>
          <w:rFonts w:ascii="仿宋_GB2312" w:hAnsi="仿宋_GB2312" w:eastAsia="仿宋_GB2312" w:cs="仿宋_GB2312"/>
          <w:snapToGrid w:val="0"/>
          <w:kern w:val="0"/>
          <w:sz w:val="32"/>
          <w:szCs w:val="32"/>
        </w:rPr>
        <w:t>稻新品种，解决南方早</w:t>
      </w:r>
      <w:r>
        <w:rPr>
          <w:rFonts w:hint="eastAsia" w:ascii="仿宋_GB2312" w:hAnsi="仿宋_GB2312" w:eastAsia="仿宋_GB2312" w:cs="仿宋_GB2312"/>
          <w:snapToGrid w:val="0"/>
          <w:kern w:val="0"/>
          <w:sz w:val="32"/>
          <w:szCs w:val="32"/>
        </w:rPr>
        <w:t>季优质</w:t>
      </w:r>
      <w:r>
        <w:rPr>
          <w:rFonts w:ascii="仿宋_GB2312" w:hAnsi="仿宋_GB2312" w:eastAsia="仿宋_GB2312" w:cs="仿宋_GB2312"/>
          <w:snapToGrid w:val="0"/>
          <w:kern w:val="0"/>
          <w:sz w:val="32"/>
          <w:szCs w:val="32"/>
        </w:rPr>
        <w:t>稻穗发芽瓶颈问题。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snapToGrid w:val="0"/>
          <w:kern w:val="0"/>
          <w:sz w:val="32"/>
          <w:szCs w:val="32"/>
          <w:lang w:eastAsia="zh-CN"/>
        </w:rPr>
      </w:pP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b/>
          <w:bCs/>
          <w:snapToGrid w:val="0"/>
          <w:kern w:val="0"/>
          <w:sz w:val="32"/>
          <w:szCs w:val="32"/>
          <w:lang w:val="en-US" w:eastAsia="zh-CN"/>
        </w:rPr>
        <w:t>2</w:t>
      </w:r>
      <w:r>
        <w:rPr>
          <w:rFonts w:hint="eastAsia" w:ascii="仿宋_GB2312" w:hAnsi="仿宋_GB2312" w:eastAsia="仿宋_GB2312" w:cs="仿宋_GB2312"/>
          <w:b/>
          <w:bCs/>
          <w:snapToGrid w:val="0"/>
          <w:kern w:val="0"/>
          <w:sz w:val="32"/>
          <w:szCs w:val="32"/>
          <w:lang w:eastAsia="zh-CN"/>
        </w:rPr>
        <w:t>）建设内容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snapToGrid w:val="0"/>
          <w:kern w:val="0"/>
          <w:sz w:val="32"/>
          <w:szCs w:val="32"/>
          <w:lang w:eastAsia="zh-CN"/>
        </w:rPr>
      </w:pPr>
      <w:r>
        <w:rPr>
          <w:rFonts w:ascii="仿宋_GB2312" w:hAnsi="仿宋_GB2312" w:eastAsia="仿宋_GB2312" w:cs="仿宋_GB2312"/>
          <w:snapToGrid w:val="0"/>
          <w:kern w:val="0"/>
          <w:sz w:val="32"/>
          <w:szCs w:val="32"/>
        </w:rPr>
        <w:t>建立水稻耐穗发芽评价鉴定技术体系，筛选水稻耐穗发芽资源材料，设计耐穗发芽关键基因</w:t>
      </w:r>
      <w:r>
        <w:rPr>
          <w:rFonts w:hint="eastAsia" w:ascii="仿宋_GB2312" w:hAnsi="仿宋_GB2312" w:eastAsia="仿宋_GB2312" w:cs="仿宋_GB2312"/>
          <w:snapToGrid w:val="0"/>
          <w:kern w:val="0"/>
          <w:sz w:val="32"/>
          <w:szCs w:val="32"/>
        </w:rPr>
        <w:t>功能</w:t>
      </w:r>
      <w:r>
        <w:rPr>
          <w:rFonts w:ascii="仿宋_GB2312" w:hAnsi="仿宋_GB2312" w:eastAsia="仿宋_GB2312" w:cs="仿宋_GB2312"/>
          <w:snapToGrid w:val="0"/>
          <w:kern w:val="0"/>
          <w:sz w:val="32"/>
          <w:szCs w:val="32"/>
        </w:rPr>
        <w:t>标记，创建耐穗发芽设计育种技术平台，实现水稻耐穗发芽全基因组水平选择</w:t>
      </w:r>
      <w:r>
        <w:rPr>
          <w:rFonts w:hint="eastAsia" w:ascii="仿宋_GB2312" w:hAnsi="仿宋_GB2312" w:eastAsia="仿宋_GB2312" w:cs="仿宋_GB2312"/>
          <w:snapToGrid w:val="0"/>
          <w:kern w:val="0"/>
          <w:sz w:val="32"/>
          <w:szCs w:val="32"/>
          <w:lang w:eastAsia="zh-CN"/>
        </w:rPr>
        <w:t>，</w:t>
      </w:r>
      <w:r>
        <w:rPr>
          <w:rFonts w:ascii="仿宋_GB2312" w:hAnsi="仿宋_GB2312" w:eastAsia="仿宋_GB2312" w:cs="仿宋_GB2312"/>
          <w:snapToGrid w:val="0"/>
          <w:kern w:val="0"/>
          <w:sz w:val="32"/>
          <w:szCs w:val="32"/>
        </w:rPr>
        <w:t>通过回交转育</w:t>
      </w:r>
      <w:r>
        <w:rPr>
          <w:rFonts w:hint="eastAsia" w:ascii="仿宋_GB2312" w:hAnsi="仿宋_GB2312" w:eastAsia="仿宋_GB2312" w:cs="仿宋_GB2312"/>
          <w:snapToGrid w:val="0"/>
          <w:kern w:val="0"/>
          <w:sz w:val="32"/>
          <w:szCs w:val="32"/>
          <w:lang w:eastAsia="zh-CN"/>
        </w:rPr>
        <w:t>获得</w:t>
      </w:r>
      <w:r>
        <w:rPr>
          <w:rFonts w:ascii="仿宋_GB2312" w:hAnsi="仿宋_GB2312" w:eastAsia="仿宋_GB2312" w:cs="仿宋_GB2312"/>
          <w:snapToGrid w:val="0"/>
          <w:kern w:val="0"/>
          <w:sz w:val="32"/>
          <w:szCs w:val="32"/>
        </w:rPr>
        <w:t>耐穗发芽</w:t>
      </w:r>
      <w:r>
        <w:rPr>
          <w:rFonts w:hint="eastAsia" w:ascii="仿宋_GB2312" w:hAnsi="仿宋_GB2312" w:eastAsia="仿宋_GB2312" w:cs="仿宋_GB2312"/>
          <w:snapToGrid w:val="0"/>
          <w:kern w:val="0"/>
          <w:sz w:val="32"/>
          <w:szCs w:val="32"/>
        </w:rPr>
        <w:t>优质</w:t>
      </w:r>
      <w:r>
        <w:rPr>
          <w:rFonts w:ascii="仿宋_GB2312" w:hAnsi="仿宋_GB2312" w:eastAsia="仿宋_GB2312" w:cs="仿宋_GB2312"/>
          <w:snapToGrid w:val="0"/>
          <w:kern w:val="0"/>
          <w:sz w:val="32"/>
          <w:szCs w:val="32"/>
        </w:rPr>
        <w:t>稻新品系</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b/>
          <w:bCs/>
          <w:snapToGrid w:val="0"/>
          <w:kern w:val="0"/>
          <w:sz w:val="32"/>
          <w:szCs w:val="32"/>
          <w:lang w:val="en-US" w:eastAsia="zh-CN"/>
        </w:rPr>
        <w:t>3</w:t>
      </w:r>
      <w:r>
        <w:rPr>
          <w:rFonts w:hint="eastAsia" w:ascii="仿宋_GB2312" w:hAnsi="仿宋_GB2312" w:eastAsia="仿宋_GB2312" w:cs="仿宋_GB2312"/>
          <w:b/>
          <w:bCs/>
          <w:snapToGrid w:val="0"/>
          <w:kern w:val="0"/>
          <w:sz w:val="32"/>
          <w:szCs w:val="32"/>
          <w:lang w:eastAsia="zh-CN"/>
        </w:rPr>
        <w:t>）绩效目标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完成不少于</w:t>
      </w:r>
      <w:r>
        <w:rPr>
          <w:rFonts w:hint="eastAsia" w:ascii="仿宋_GB2312" w:hAnsi="仿宋_GB2312" w:eastAsia="仿宋_GB2312" w:cs="仿宋_GB2312"/>
          <w:snapToGrid w:val="0"/>
          <w:kern w:val="0"/>
          <w:sz w:val="32"/>
          <w:szCs w:val="32"/>
        </w:rPr>
        <w:t>2</w:t>
      </w:r>
      <w:r>
        <w:rPr>
          <w:rFonts w:ascii="仿宋_GB2312" w:hAnsi="仿宋_GB2312" w:eastAsia="仿宋_GB2312" w:cs="仿宋_GB2312"/>
          <w:snapToGrid w:val="0"/>
          <w:kern w:val="0"/>
          <w:sz w:val="32"/>
          <w:szCs w:val="32"/>
        </w:rPr>
        <w:t>00份水稻资源材料的重测序并进行系统性耐穗发芽评价鉴定</w:t>
      </w:r>
      <w:r>
        <w:rPr>
          <w:rFonts w:hint="eastAsia" w:ascii="仿宋_GB2312" w:hAnsi="仿宋_GB2312" w:eastAsia="仿宋_GB2312" w:cs="仿宋_GB2312"/>
          <w:snapToGrid w:val="0"/>
          <w:kern w:val="0"/>
          <w:sz w:val="32"/>
          <w:szCs w:val="32"/>
          <w:lang w:eastAsia="zh-CN"/>
        </w:rPr>
        <w:t>；</w:t>
      </w:r>
      <w:r>
        <w:rPr>
          <w:rFonts w:ascii="仿宋_GB2312" w:hAnsi="仿宋_GB2312" w:eastAsia="仿宋_GB2312" w:cs="仿宋_GB2312"/>
          <w:snapToGrid w:val="0"/>
          <w:kern w:val="0"/>
          <w:sz w:val="32"/>
          <w:szCs w:val="32"/>
        </w:rPr>
        <w:t>筛选耐穗发芽种质资源材料</w:t>
      </w:r>
      <w:r>
        <w:rPr>
          <w:rFonts w:hint="eastAsia" w:ascii="仿宋_GB2312" w:hAnsi="仿宋_GB2312" w:eastAsia="仿宋_GB2312" w:cs="仿宋_GB2312"/>
          <w:snapToGrid w:val="0"/>
          <w:kern w:val="0"/>
          <w:sz w:val="32"/>
          <w:szCs w:val="32"/>
        </w:rPr>
        <w:t>6</w:t>
      </w:r>
      <w:r>
        <w:rPr>
          <w:rFonts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rPr>
        <w:t>7</w:t>
      </w:r>
      <w:r>
        <w:rPr>
          <w:rFonts w:ascii="仿宋_GB2312" w:hAnsi="仿宋_GB2312" w:eastAsia="仿宋_GB2312" w:cs="仿宋_GB2312"/>
          <w:snapToGrid w:val="0"/>
          <w:kern w:val="0"/>
          <w:sz w:val="32"/>
          <w:szCs w:val="32"/>
        </w:rPr>
        <w:t>份</w:t>
      </w:r>
      <w:r>
        <w:rPr>
          <w:rFonts w:hint="eastAsia" w:ascii="仿宋_GB2312" w:hAnsi="仿宋_GB2312" w:eastAsia="仿宋_GB2312" w:cs="仿宋_GB2312"/>
          <w:snapToGrid w:val="0"/>
          <w:kern w:val="0"/>
          <w:sz w:val="32"/>
          <w:szCs w:val="32"/>
          <w:lang w:eastAsia="zh-CN"/>
        </w:rPr>
        <w:t>，</w:t>
      </w:r>
      <w:r>
        <w:rPr>
          <w:rFonts w:ascii="仿宋_GB2312" w:hAnsi="仿宋_GB2312" w:eastAsia="仿宋_GB2312" w:cs="仿宋_GB2312"/>
          <w:snapToGrid w:val="0"/>
          <w:kern w:val="0"/>
          <w:sz w:val="32"/>
          <w:szCs w:val="32"/>
        </w:rPr>
        <w:t>创制耐穗发芽</w:t>
      </w:r>
      <w:r>
        <w:rPr>
          <w:rFonts w:hint="eastAsia" w:ascii="仿宋_GB2312" w:hAnsi="仿宋_GB2312" w:eastAsia="仿宋_GB2312" w:cs="仿宋_GB2312"/>
          <w:snapToGrid w:val="0"/>
          <w:kern w:val="0"/>
          <w:sz w:val="32"/>
          <w:szCs w:val="32"/>
        </w:rPr>
        <w:t>优质</w:t>
      </w:r>
      <w:r>
        <w:rPr>
          <w:rFonts w:ascii="仿宋_GB2312" w:hAnsi="仿宋_GB2312" w:eastAsia="仿宋_GB2312" w:cs="仿宋_GB2312"/>
          <w:snapToGrid w:val="0"/>
          <w:kern w:val="0"/>
          <w:sz w:val="32"/>
          <w:szCs w:val="32"/>
        </w:rPr>
        <w:t>稻新种质</w:t>
      </w:r>
      <w:r>
        <w:rPr>
          <w:rFonts w:hint="eastAsia" w:ascii="仿宋_GB2312" w:hAnsi="仿宋_GB2312" w:eastAsia="仿宋_GB2312" w:cs="仿宋_GB2312"/>
          <w:snapToGrid w:val="0"/>
          <w:kern w:val="0"/>
          <w:sz w:val="32"/>
          <w:szCs w:val="32"/>
        </w:rPr>
        <w:t>2-3份</w:t>
      </w:r>
      <w:r>
        <w:rPr>
          <w:rFonts w:hint="eastAsia" w:ascii="仿宋_GB2312" w:hAnsi="仿宋_GB2312" w:eastAsia="仿宋_GB2312" w:cs="仿宋_GB2312"/>
          <w:snapToGrid w:val="0"/>
          <w:kern w:val="0"/>
          <w:sz w:val="32"/>
          <w:szCs w:val="32"/>
          <w:lang w:eastAsia="zh-CN"/>
        </w:rPr>
        <w:t>；</w:t>
      </w:r>
      <w:r>
        <w:rPr>
          <w:rFonts w:ascii="仿宋_GB2312" w:hAnsi="仿宋_GB2312" w:eastAsia="仿宋_GB2312" w:cs="仿宋_GB2312"/>
          <w:snapToGrid w:val="0"/>
          <w:kern w:val="0"/>
          <w:sz w:val="32"/>
          <w:szCs w:val="32"/>
        </w:rPr>
        <w:t>获得以广东省主栽水稻品种为底盘的耐穗发芽</w:t>
      </w:r>
      <w:r>
        <w:rPr>
          <w:rFonts w:hint="eastAsia" w:ascii="仿宋_GB2312" w:hAnsi="仿宋_GB2312" w:eastAsia="仿宋_GB2312" w:cs="仿宋_GB2312"/>
          <w:snapToGrid w:val="0"/>
          <w:kern w:val="0"/>
          <w:sz w:val="32"/>
          <w:szCs w:val="32"/>
        </w:rPr>
        <w:t>优质稻</w:t>
      </w:r>
      <w:r>
        <w:rPr>
          <w:rFonts w:ascii="仿宋_GB2312" w:hAnsi="仿宋_GB2312" w:eastAsia="仿宋_GB2312" w:cs="仿宋_GB2312"/>
          <w:snapToGrid w:val="0"/>
          <w:kern w:val="0"/>
          <w:sz w:val="32"/>
          <w:szCs w:val="32"/>
        </w:rPr>
        <w:t>新品系</w:t>
      </w:r>
      <w:r>
        <w:rPr>
          <w:rFonts w:hint="eastAsia" w:ascii="仿宋_GB2312" w:hAnsi="仿宋_GB2312" w:eastAsia="仿宋_GB2312" w:cs="仿宋_GB2312"/>
          <w:snapToGrid w:val="0"/>
          <w:kern w:val="0"/>
          <w:sz w:val="32"/>
          <w:szCs w:val="32"/>
        </w:rPr>
        <w:t>1-2份</w:t>
      </w:r>
      <w:r>
        <w:rPr>
          <w:rFonts w:ascii="仿宋_GB2312" w:hAnsi="仿宋_GB2312" w:eastAsia="仿宋_GB2312" w:cs="仿宋_GB2312"/>
          <w:snapToGrid w:val="0"/>
          <w:kern w:val="0"/>
          <w:sz w:val="32"/>
          <w:szCs w:val="32"/>
        </w:rPr>
        <w:t>进行大田示范，并推荐</w:t>
      </w:r>
      <w:r>
        <w:rPr>
          <w:rFonts w:hint="eastAsia" w:ascii="仿宋_GB2312" w:hAnsi="仿宋_GB2312" w:eastAsia="仿宋_GB2312" w:cs="仿宋_GB2312"/>
          <w:snapToGrid w:val="0"/>
          <w:kern w:val="0"/>
          <w:sz w:val="32"/>
          <w:szCs w:val="32"/>
        </w:rPr>
        <w:t>1-2个</w:t>
      </w:r>
      <w:r>
        <w:rPr>
          <w:rFonts w:hint="default" w:ascii="仿宋_GB2312" w:hAnsi="仿宋_GB2312" w:eastAsia="仿宋_GB2312" w:cs="仿宋_GB2312"/>
          <w:snapToGrid w:val="0"/>
          <w:kern w:val="0"/>
          <w:sz w:val="32"/>
          <w:szCs w:val="32"/>
          <w:lang w:val="en-US" w:eastAsia="zh-CN"/>
        </w:rPr>
        <w:t>新组合或新品系</w:t>
      </w:r>
      <w:r>
        <w:rPr>
          <w:rFonts w:hint="eastAsia" w:ascii="仿宋_GB2312" w:hAnsi="仿宋_GB2312" w:eastAsia="仿宋_GB2312" w:cs="仿宋_GB2312"/>
          <w:snapToGrid w:val="0"/>
          <w:kern w:val="0"/>
          <w:sz w:val="32"/>
          <w:szCs w:val="32"/>
        </w:rPr>
        <w:t>参加</w:t>
      </w:r>
      <w:r>
        <w:rPr>
          <w:rFonts w:ascii="仿宋_GB2312" w:hAnsi="仿宋_GB2312" w:eastAsia="仿宋_GB2312" w:cs="仿宋_GB2312"/>
          <w:snapToGrid w:val="0"/>
          <w:kern w:val="0"/>
          <w:sz w:val="32"/>
          <w:szCs w:val="32"/>
        </w:rPr>
        <w:t>省级区域试验。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ascii="仿宋_GB2312" w:hAnsi="仿宋_GB2312" w:eastAsia="仿宋_GB2312" w:cs="仿宋_GB2312"/>
          <w:b/>
          <w:bCs/>
          <w:snapToGrid w:val="0"/>
          <w:kern w:val="0"/>
          <w:sz w:val="32"/>
          <w:szCs w:val="32"/>
        </w:rPr>
      </w:pPr>
      <w:r>
        <w:rPr>
          <w:rFonts w:ascii="仿宋_GB2312" w:hAnsi="仿宋_GB2312" w:eastAsia="仿宋_GB2312" w:cs="仿宋_GB2312"/>
          <w:b/>
          <w:bCs/>
          <w:snapToGrid w:val="0"/>
          <w:kern w:val="0"/>
          <w:sz w:val="32"/>
          <w:szCs w:val="32"/>
        </w:rPr>
        <w:t>（</w:t>
      </w:r>
      <w:r>
        <w:rPr>
          <w:rFonts w:hint="eastAsia" w:ascii="仿宋_GB2312" w:hAnsi="仿宋_GB2312" w:eastAsia="仿宋_GB2312" w:cs="仿宋_GB2312"/>
          <w:b/>
          <w:bCs/>
          <w:snapToGrid w:val="0"/>
          <w:kern w:val="0"/>
          <w:sz w:val="32"/>
          <w:szCs w:val="32"/>
          <w:lang w:val="en-US" w:eastAsia="zh-CN"/>
        </w:rPr>
        <w:t>4</w:t>
      </w:r>
      <w:r>
        <w:rPr>
          <w:rFonts w:ascii="仿宋_GB2312" w:hAnsi="仿宋_GB2312" w:eastAsia="仿宋_GB2312" w:cs="仿宋_GB2312"/>
          <w:b/>
          <w:bCs/>
          <w:snapToGrid w:val="0"/>
          <w:kern w:val="0"/>
          <w:sz w:val="32"/>
          <w:szCs w:val="32"/>
        </w:rPr>
        <w:t>）申请</w:t>
      </w:r>
      <w:r>
        <w:rPr>
          <w:rFonts w:hint="eastAsia" w:ascii="仿宋_GB2312" w:hAnsi="仿宋_GB2312" w:eastAsia="仿宋_GB2312" w:cs="仿宋_GB2312"/>
          <w:b/>
          <w:bCs/>
          <w:snapToGrid w:val="0"/>
          <w:kern w:val="0"/>
          <w:sz w:val="32"/>
          <w:szCs w:val="32"/>
          <w:lang w:eastAsia="zh-CN"/>
        </w:rPr>
        <w:t>主体</w:t>
      </w:r>
      <w:r>
        <w:rPr>
          <w:rFonts w:ascii="仿宋_GB2312" w:hAnsi="仿宋_GB2312" w:eastAsia="仿宋_GB2312" w:cs="仿宋_GB2312"/>
          <w:b/>
          <w:bCs/>
          <w:snapToGrid w:val="0"/>
          <w:kern w:val="0"/>
          <w:sz w:val="32"/>
          <w:szCs w:val="32"/>
        </w:rPr>
        <w:t>和条件</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bidi="ar"/>
        </w:rPr>
        <w:t>①</w:t>
      </w:r>
      <w:r>
        <w:rPr>
          <w:rFonts w:hint="eastAsia" w:ascii="仿宋_GB2312" w:hAnsi="仿宋_GB2312" w:eastAsia="仿宋_GB2312" w:cs="仿宋_GB2312"/>
          <w:color w:val="auto"/>
          <w:kern w:val="0"/>
          <w:sz w:val="32"/>
          <w:szCs w:val="32"/>
          <w:highlight w:val="none"/>
          <w:lang w:val="en-US" w:eastAsia="zh-CN"/>
        </w:rPr>
        <w:t>申报主体为省级及以上事业单位。</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②申报</w:t>
      </w:r>
      <w:r>
        <w:rPr>
          <w:rFonts w:hint="eastAsia" w:ascii="仿宋_GB2312" w:hAnsi="仿宋_GB2312" w:eastAsia="仿宋_GB2312" w:cs="仿宋_GB2312"/>
          <w:snapToGrid w:val="0"/>
          <w:kern w:val="0"/>
          <w:sz w:val="32"/>
          <w:szCs w:val="32"/>
          <w:lang w:eastAsia="zh-CN"/>
        </w:rPr>
        <w:t>主体</w:t>
      </w:r>
      <w:r>
        <w:rPr>
          <w:rFonts w:ascii="仿宋_GB2312" w:hAnsi="仿宋_GB2312" w:eastAsia="仿宋_GB2312" w:cs="仿宋_GB2312"/>
          <w:snapToGrid w:val="0"/>
          <w:kern w:val="0"/>
          <w:sz w:val="32"/>
          <w:szCs w:val="32"/>
        </w:rPr>
        <w:t>在水稻穗发芽调控基础、应用基础及应用领域</w:t>
      </w:r>
      <w:r>
        <w:rPr>
          <w:rFonts w:hint="eastAsia" w:ascii="仿宋_GB2312" w:hAnsi="仿宋_GB2312" w:eastAsia="仿宋_GB2312" w:cs="仿宋_GB2312"/>
          <w:snapToGrid w:val="0"/>
          <w:kern w:val="0"/>
          <w:sz w:val="32"/>
          <w:szCs w:val="32"/>
          <w:lang w:eastAsia="zh-CN"/>
        </w:rPr>
        <w:t>具有</w:t>
      </w:r>
      <w:r>
        <w:rPr>
          <w:rFonts w:ascii="仿宋_GB2312" w:hAnsi="仿宋_GB2312" w:eastAsia="仿宋_GB2312" w:cs="仿宋_GB2312"/>
          <w:snapToGrid w:val="0"/>
          <w:kern w:val="0"/>
          <w:sz w:val="32"/>
          <w:szCs w:val="32"/>
        </w:rPr>
        <w:t>较强的研究基础。</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③申报</w:t>
      </w:r>
      <w:r>
        <w:rPr>
          <w:rFonts w:hint="eastAsia" w:ascii="仿宋_GB2312" w:hAnsi="仿宋_GB2312" w:eastAsia="仿宋_GB2312" w:cs="仿宋_GB2312"/>
          <w:snapToGrid w:val="0"/>
          <w:kern w:val="0"/>
          <w:sz w:val="32"/>
          <w:szCs w:val="32"/>
          <w:lang w:eastAsia="zh-CN"/>
        </w:rPr>
        <w:t>主体</w:t>
      </w:r>
      <w:r>
        <w:rPr>
          <w:rFonts w:hint="eastAsia" w:ascii="仿宋_GB2312" w:hAnsi="仿宋_GB2312" w:eastAsia="仿宋_GB2312" w:cs="仿宋_GB2312"/>
          <w:snapToGrid w:val="0"/>
          <w:kern w:val="0"/>
          <w:sz w:val="32"/>
          <w:szCs w:val="32"/>
        </w:rPr>
        <w:t>具有较为完善的项目和财务管理制度，信用记录良好。</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（5）实施周期和资金额度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原则上项目实施周期</w:t>
      </w:r>
      <w:r>
        <w:rPr>
          <w:rFonts w:hint="eastAsia" w:ascii="仿宋_GB2312" w:hAnsi="仿宋_GB2312" w:eastAsia="仿宋_GB2312" w:cs="仿宋_GB2312"/>
          <w:color w:val="auto"/>
          <w:kern w:val="0"/>
          <w:sz w:val="32"/>
          <w:szCs w:val="32"/>
          <w:highlight w:val="none"/>
          <w:lang w:val="en-US" w:eastAsia="zh-CN"/>
        </w:rPr>
        <w:t>不超过</w:t>
      </w:r>
      <w:r>
        <w:rPr>
          <w:rFonts w:hint="default" w:ascii="仿宋_GB2312" w:hAnsi="仿宋_GB2312" w:eastAsia="仿宋_GB2312" w:cs="仿宋_GB2312"/>
          <w:snapToGrid w:val="0"/>
          <w:kern w:val="0"/>
          <w:sz w:val="32"/>
          <w:szCs w:val="32"/>
          <w:lang w:val="en-US" w:eastAsia="zh-CN" w:bidi="ar"/>
        </w:rPr>
        <w:t>3年，经年度中期评估合格的，实行滚动支持。每年度支持资金额度</w:t>
      </w:r>
      <w:r>
        <w:rPr>
          <w:rFonts w:hint="eastAsia" w:ascii="仿宋_GB2312" w:hAnsi="仿宋_GB2312" w:eastAsia="仿宋_GB2312" w:cs="仿宋_GB2312"/>
          <w:color w:val="auto"/>
          <w:kern w:val="0"/>
          <w:sz w:val="32"/>
          <w:szCs w:val="32"/>
          <w:highlight w:val="none"/>
          <w:lang w:val="en-US" w:eastAsia="zh-CN"/>
        </w:rPr>
        <w:t>不超过</w:t>
      </w:r>
      <w:r>
        <w:rPr>
          <w:rFonts w:hint="default" w:ascii="仿宋_GB2312" w:hAnsi="仿宋_GB2312" w:eastAsia="仿宋_GB2312" w:cs="仿宋_GB2312"/>
          <w:snapToGrid w:val="0"/>
          <w:kern w:val="0"/>
          <w:sz w:val="32"/>
          <w:szCs w:val="32"/>
          <w:lang w:val="en-US" w:eastAsia="zh-CN" w:bidi="ar"/>
        </w:rPr>
        <w:t>50万元</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w:t>
      </w:r>
      <w:r>
        <w:rPr>
          <w:rFonts w:hint="eastAsia" w:ascii="仿宋_GB2312" w:hAnsi="仿宋_GB2312" w:eastAsia="仿宋_GB2312" w:cs="仿宋_GB2312"/>
          <w:color w:val="auto"/>
          <w:kern w:val="0"/>
          <w:sz w:val="32"/>
          <w:szCs w:val="32"/>
          <w:highlight w:val="none"/>
          <w:lang w:val="en-US" w:eastAsia="zh-CN" w:bidi="ar"/>
        </w:rPr>
        <w:t>申报书测定的项目需求金额应提供资金测算过程及测算依据，项目预算金额测算是否详细、可行、有佐证依据将纳入评审标准。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4.马铃薯种薯繁育技术研究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rPr>
        <w:t>（1）</w:t>
      </w:r>
      <w:r>
        <w:rPr>
          <w:rFonts w:hint="eastAsia" w:ascii="仿宋_GB2312" w:hAnsi="仿宋_GB2312" w:eastAsia="仿宋_GB2312" w:cs="仿宋_GB2312"/>
          <w:b/>
          <w:bCs/>
          <w:caps w:val="0"/>
          <w:color w:val="auto"/>
          <w:spacing w:val="0"/>
          <w:kern w:val="0"/>
          <w:sz w:val="32"/>
          <w:szCs w:val="32"/>
          <w:highlight w:val="none"/>
          <w:lang w:eastAsia="zh-CN"/>
        </w:rPr>
        <w:t>项目需求</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支持开展</w:t>
      </w:r>
      <w:r>
        <w:rPr>
          <w:rFonts w:hint="eastAsia" w:ascii="仿宋_GB2312" w:hAnsi="仿宋_GB2312" w:eastAsia="仿宋_GB2312" w:cs="仿宋_GB2312"/>
          <w:color w:val="auto"/>
          <w:kern w:val="0"/>
          <w:sz w:val="32"/>
          <w:szCs w:val="32"/>
          <w:highlight w:val="none"/>
        </w:rPr>
        <w:t>集马铃薯茎尖脱毒、组织培养、组培苗快速扩繁等多项技术为一体的脱毒组培苗快繁技术体系和基于雾培的马铃薯原原种</w:t>
      </w:r>
      <w:r>
        <w:rPr>
          <w:rFonts w:hint="eastAsia" w:ascii="仿宋_GB2312" w:hAnsi="仿宋_GB2312" w:eastAsia="仿宋_GB2312" w:cs="仿宋_GB2312"/>
          <w:color w:val="auto"/>
          <w:kern w:val="0"/>
          <w:sz w:val="32"/>
          <w:szCs w:val="32"/>
          <w:highlight w:val="none"/>
          <w:lang w:eastAsia="zh-CN"/>
        </w:rPr>
        <w:t>、原种、一级种繁育</w:t>
      </w:r>
      <w:r>
        <w:rPr>
          <w:rFonts w:hint="eastAsia" w:ascii="仿宋_GB2312" w:hAnsi="仿宋_GB2312" w:eastAsia="仿宋_GB2312" w:cs="仿宋_GB2312"/>
          <w:color w:val="auto"/>
          <w:kern w:val="0"/>
          <w:sz w:val="32"/>
          <w:szCs w:val="32"/>
          <w:highlight w:val="none"/>
        </w:rPr>
        <w:t>技术体系</w:t>
      </w:r>
      <w:r>
        <w:rPr>
          <w:rFonts w:hint="eastAsia" w:ascii="仿宋_GB2312" w:hAnsi="仿宋_GB2312" w:eastAsia="仿宋_GB2312" w:cs="仿宋_GB2312"/>
          <w:color w:val="auto"/>
          <w:kern w:val="0"/>
          <w:sz w:val="32"/>
          <w:szCs w:val="32"/>
          <w:highlight w:val="none"/>
          <w:lang w:eastAsia="zh-CN"/>
        </w:rPr>
        <w:t>研究，</w:t>
      </w:r>
      <w:r>
        <w:rPr>
          <w:rFonts w:hint="eastAsia" w:ascii="仿宋_GB2312" w:hAnsi="仿宋_GB2312" w:eastAsia="仿宋_GB2312" w:cs="仿宋_GB2312"/>
          <w:color w:val="auto"/>
          <w:kern w:val="0"/>
          <w:sz w:val="32"/>
          <w:szCs w:val="32"/>
          <w:highlight w:val="none"/>
          <w:lang w:val="en-US" w:eastAsia="zh-CN"/>
        </w:rPr>
        <w:t>提升我省优质马铃薯种薯供应能力。</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（2）建设内容</w:t>
      </w:r>
    </w:p>
    <w:p>
      <w:pPr>
        <w:keepNext w:val="0"/>
        <w:keepLines w:val="0"/>
        <w:pageBreakBefore w:val="0"/>
        <w:numPr>
          <w:ilvl w:val="0"/>
          <w:numId w:val="0"/>
        </w:numPr>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color w:val="auto"/>
          <w:kern w:val="0"/>
          <w:sz w:val="32"/>
          <w:szCs w:val="32"/>
          <w:highlight w:val="none"/>
          <w:lang w:eastAsia="zh-CN"/>
        </w:rPr>
        <w:t>筛选出最适宜我省开展种薯繁育的试验基地，</w:t>
      </w:r>
      <w:r>
        <w:rPr>
          <w:rFonts w:hint="eastAsia" w:ascii="仿宋_GB2312" w:hAnsi="仿宋_GB2312" w:eastAsia="仿宋_GB2312" w:cs="仿宋_GB2312"/>
          <w:color w:val="auto"/>
          <w:kern w:val="0"/>
          <w:sz w:val="32"/>
          <w:szCs w:val="32"/>
          <w:highlight w:val="none"/>
          <w:lang w:val="en-US" w:eastAsia="zh-CN"/>
        </w:rPr>
        <w:t>完善马铃薯种繁育相关</w:t>
      </w:r>
      <w:r>
        <w:rPr>
          <w:rFonts w:hint="eastAsia" w:ascii="仿宋_GB2312" w:hAnsi="仿宋_GB2312" w:eastAsia="仿宋_GB2312" w:cs="仿宋_GB2312"/>
          <w:color w:val="auto"/>
          <w:kern w:val="0"/>
          <w:sz w:val="32"/>
          <w:szCs w:val="32"/>
          <w:highlight w:val="none"/>
        </w:rPr>
        <w:t>设施</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制定规范化脱毒种苗繁育</w:t>
      </w:r>
      <w:r>
        <w:rPr>
          <w:rFonts w:hint="eastAsia" w:ascii="仿宋_GB2312" w:hAnsi="仿宋_GB2312" w:eastAsia="仿宋_GB2312" w:cs="仿宋_GB2312"/>
          <w:color w:val="auto"/>
          <w:kern w:val="0"/>
          <w:sz w:val="32"/>
          <w:szCs w:val="32"/>
          <w:highlight w:val="none"/>
          <w:lang w:val="en-US" w:eastAsia="zh-CN"/>
        </w:rPr>
        <w:t>生产</w:t>
      </w:r>
      <w:r>
        <w:rPr>
          <w:rFonts w:hint="eastAsia" w:ascii="仿宋_GB2312" w:hAnsi="仿宋_GB2312" w:eastAsia="仿宋_GB2312" w:cs="仿宋_GB2312"/>
          <w:color w:val="auto"/>
          <w:kern w:val="0"/>
          <w:sz w:val="32"/>
          <w:szCs w:val="32"/>
          <w:highlight w:val="none"/>
        </w:rPr>
        <w:t>技术</w:t>
      </w:r>
      <w:r>
        <w:rPr>
          <w:rFonts w:hint="eastAsia" w:ascii="仿宋_GB2312" w:hAnsi="仿宋_GB2312" w:eastAsia="仿宋_GB2312" w:cs="仿宋_GB2312"/>
          <w:color w:val="auto"/>
          <w:kern w:val="0"/>
          <w:sz w:val="32"/>
          <w:szCs w:val="32"/>
          <w:highlight w:val="none"/>
          <w:lang w:val="en-US" w:eastAsia="zh-CN"/>
        </w:rPr>
        <w:t>规程，利用</w:t>
      </w:r>
      <w:r>
        <w:rPr>
          <w:rFonts w:hint="eastAsia" w:ascii="仿宋_GB2312" w:hAnsi="仿宋_GB2312" w:eastAsia="仿宋_GB2312" w:cs="仿宋_GB2312"/>
          <w:color w:val="auto"/>
          <w:kern w:val="0"/>
          <w:sz w:val="32"/>
          <w:szCs w:val="32"/>
          <w:highlight w:val="none"/>
        </w:rPr>
        <w:t>茎尖脱毒、组织培养</w:t>
      </w:r>
      <w:r>
        <w:rPr>
          <w:rFonts w:hint="eastAsia" w:ascii="仿宋_GB2312" w:hAnsi="仿宋_GB2312" w:eastAsia="仿宋_GB2312" w:cs="仿宋_GB2312"/>
          <w:color w:val="auto"/>
          <w:kern w:val="0"/>
          <w:sz w:val="32"/>
          <w:szCs w:val="32"/>
          <w:highlight w:val="none"/>
          <w:lang w:val="en-US" w:eastAsia="zh-CN"/>
        </w:rPr>
        <w:t>等技术开展</w:t>
      </w:r>
      <w:r>
        <w:rPr>
          <w:rFonts w:hint="eastAsia" w:ascii="仿宋_GB2312" w:hAnsi="仿宋_GB2312" w:eastAsia="仿宋_GB2312" w:cs="仿宋_GB2312"/>
          <w:caps w:val="0"/>
          <w:color w:val="auto"/>
          <w:spacing w:val="0"/>
          <w:kern w:val="0"/>
          <w:sz w:val="32"/>
          <w:szCs w:val="32"/>
          <w:highlight w:val="none"/>
          <w:lang w:val="en-US" w:eastAsia="zh-CN"/>
        </w:rPr>
        <w:t>马铃薯健康种薯繁育和示范</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建立</w:t>
      </w:r>
      <w:r>
        <w:rPr>
          <w:rFonts w:hint="eastAsia" w:ascii="仿宋_GB2312" w:hAnsi="仿宋_GB2312" w:eastAsia="仿宋_GB2312" w:cs="仿宋_GB2312"/>
          <w:color w:val="auto"/>
          <w:kern w:val="0"/>
          <w:sz w:val="32"/>
          <w:szCs w:val="32"/>
          <w:highlight w:val="none"/>
        </w:rPr>
        <w:t>马铃薯原原种</w:t>
      </w:r>
      <w:r>
        <w:rPr>
          <w:rFonts w:hint="eastAsia" w:ascii="仿宋_GB2312" w:hAnsi="仿宋_GB2312" w:eastAsia="仿宋_GB2312" w:cs="仿宋_GB2312"/>
          <w:color w:val="auto"/>
          <w:kern w:val="0"/>
          <w:sz w:val="32"/>
          <w:szCs w:val="32"/>
          <w:highlight w:val="none"/>
          <w:lang w:eastAsia="zh-CN"/>
        </w:rPr>
        <w:t>、原种、一级种繁育</w:t>
      </w:r>
      <w:r>
        <w:rPr>
          <w:rFonts w:hint="eastAsia" w:ascii="仿宋_GB2312" w:hAnsi="仿宋_GB2312" w:eastAsia="仿宋_GB2312" w:cs="仿宋_GB2312"/>
          <w:color w:val="auto"/>
          <w:kern w:val="0"/>
          <w:sz w:val="32"/>
          <w:szCs w:val="32"/>
          <w:highlight w:val="none"/>
        </w:rPr>
        <w:t>技术体系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建成10亩以上的</w:t>
      </w:r>
      <w:r>
        <w:rPr>
          <w:rFonts w:hint="eastAsia" w:ascii="仿宋_GB2312" w:hAnsi="仿宋_GB2312" w:eastAsia="仿宋_GB2312" w:cs="仿宋_GB2312"/>
          <w:color w:val="auto"/>
          <w:kern w:val="0"/>
          <w:sz w:val="32"/>
          <w:szCs w:val="32"/>
          <w:highlight w:val="none"/>
          <w:lang w:eastAsia="zh-CN"/>
        </w:rPr>
        <w:t>原种、一级种繁育基地，亩产种薯达</w:t>
      </w:r>
      <w:r>
        <w:rPr>
          <w:rFonts w:hint="eastAsia" w:ascii="仿宋_GB2312" w:hAnsi="仿宋_GB2312" w:eastAsia="仿宋_GB2312" w:cs="仿宋_GB2312"/>
          <w:color w:val="auto"/>
          <w:kern w:val="0"/>
          <w:sz w:val="32"/>
          <w:szCs w:val="32"/>
          <w:highlight w:val="none"/>
          <w:lang w:val="en-US" w:eastAsia="zh-CN"/>
        </w:rPr>
        <w:t>3000公斤以上，</w:t>
      </w:r>
      <w:r>
        <w:rPr>
          <w:rFonts w:hint="eastAsia" w:ascii="仿宋_GB2312" w:hAnsi="仿宋_GB2312" w:eastAsia="仿宋_GB2312" w:cs="仿宋_GB2312"/>
          <w:color w:val="auto"/>
          <w:kern w:val="0"/>
          <w:sz w:val="32"/>
          <w:szCs w:val="32"/>
          <w:highlight w:val="none"/>
        </w:rPr>
        <w:t>种薯质量达到国家现行标准。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suppressLineNumbers w:val="0"/>
        <w:kinsoku/>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w:t>
      </w:r>
      <w:r>
        <w:rPr>
          <w:rFonts w:hint="eastAsia" w:ascii="仿宋_GB2312" w:hAnsi="仿宋_GB2312" w:eastAsia="仿宋_GB2312" w:cs="仿宋_GB2312"/>
          <w:caps w:val="0"/>
          <w:color w:val="auto"/>
          <w:spacing w:val="0"/>
          <w:kern w:val="0"/>
          <w:sz w:val="32"/>
          <w:szCs w:val="32"/>
          <w:highlight w:val="none"/>
          <w:lang w:val="en-US" w:eastAsia="zh-CN" w:bidi="ar"/>
        </w:rPr>
        <w:t>申</w:t>
      </w:r>
      <w:r>
        <w:rPr>
          <w:rFonts w:hint="eastAsia" w:ascii="仿宋_GB2312" w:hAnsi="仿宋_GB2312" w:eastAsia="仿宋_GB2312" w:cs="仿宋_GB2312"/>
          <w:color w:val="auto"/>
          <w:kern w:val="0"/>
          <w:sz w:val="32"/>
          <w:szCs w:val="32"/>
          <w:highlight w:val="none"/>
          <w:lang w:val="en-US" w:eastAsia="zh-CN"/>
        </w:rPr>
        <w:t>报主体应在微型马铃薯种苗繁育方面有较好的技术积累和良好的工作基础。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原则上项目实施周期</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3年，经年度中期评估合格的，实行滚动支持。每年度支持资金额度</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50万元。</w:t>
      </w: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5.专用高效农业微生物种质发掘、创制和利用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（1）项目需求</w:t>
      </w:r>
    </w:p>
    <w:p>
      <w:pPr>
        <w:keepNext w:val="0"/>
        <w:keepLines w:val="0"/>
        <w:pageBreakBefore w:val="0"/>
        <w:widowControl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围绕大食物观、绿色种植</w:t>
      </w:r>
      <w:r>
        <w:rPr>
          <w:rFonts w:hint="eastAsia" w:ascii="仿宋_GB2312" w:hAnsi="仿宋_GB2312" w:eastAsia="仿宋_GB2312" w:cs="仿宋_GB2312"/>
          <w:color w:val="auto"/>
          <w:kern w:val="0"/>
          <w:sz w:val="32"/>
          <w:szCs w:val="32"/>
          <w:highlight w:val="none"/>
          <w:lang w:eastAsia="zh-CN" w:bidi="ar"/>
        </w:rPr>
        <w:t>、农产品保鲜</w:t>
      </w:r>
      <w:r>
        <w:rPr>
          <w:rFonts w:hint="eastAsia" w:ascii="仿宋_GB2312" w:hAnsi="仿宋_GB2312" w:eastAsia="仿宋_GB2312" w:cs="仿宋_GB2312"/>
          <w:color w:val="auto"/>
          <w:kern w:val="0"/>
          <w:sz w:val="32"/>
          <w:szCs w:val="32"/>
          <w:highlight w:val="none"/>
          <w:lang w:bidi="ar"/>
        </w:rPr>
        <w:t>和健康养殖等国家战略</w:t>
      </w:r>
      <w:r>
        <w:rPr>
          <w:rFonts w:hint="eastAsia" w:ascii="仿宋_GB2312" w:hAnsi="仿宋_GB2312" w:eastAsia="仿宋_GB2312" w:cs="仿宋_GB2312"/>
          <w:color w:val="auto"/>
          <w:kern w:val="0"/>
          <w:sz w:val="32"/>
          <w:szCs w:val="32"/>
          <w:highlight w:val="none"/>
          <w:lang w:val="en-US" w:eastAsia="zh-CN" w:bidi="ar"/>
        </w:rPr>
        <w:t>对农业微生物种业的需求，开展专用高效农业微生物种质发掘、创制和利用。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eastAsia="zh-CN" w:bidi="ar"/>
        </w:rPr>
      </w:pPr>
      <w:r>
        <w:rPr>
          <w:rFonts w:hint="eastAsia" w:ascii="仿宋_GB2312" w:hAnsi="仿宋_GB2312" w:eastAsia="仿宋_GB2312" w:cs="仿宋_GB2312"/>
          <w:b/>
          <w:caps w:val="0"/>
          <w:color w:val="auto"/>
          <w:spacing w:val="0"/>
          <w:kern w:val="0"/>
          <w:sz w:val="32"/>
          <w:szCs w:val="32"/>
          <w:highlight w:val="none"/>
          <w:lang w:val="en-US" w:eastAsia="zh-CN" w:bidi="ar"/>
        </w:rPr>
        <w:t>（2）建设内容</w:t>
      </w:r>
    </w:p>
    <w:p>
      <w:pPr>
        <w:keepNext w:val="0"/>
        <w:keepLines w:val="0"/>
        <w:pageBreakBefore w:val="0"/>
        <w:widowControl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bidi="ar"/>
        </w:rPr>
        <w:t>聚焦植物和土壤健康调理、与作物互作共生、捕食动植物病原菌等农业微生物种质的优异性状，通过自然分离、定向筛选、途径重构、调控网络优化和人工演化，发掘创制高效、可应用的共生丛枝菌根真菌、捕食黏细菌、作物生防的类芽孢杆菌和土壤固碳菌4类菌种。</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（3）绩效目标</w:t>
      </w:r>
    </w:p>
    <w:p>
      <w:pPr>
        <w:keepNext w:val="0"/>
        <w:keepLines w:val="0"/>
        <w:pageBreakBefore w:val="0"/>
        <w:widowControl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eastAsia="zh-CN" w:bidi="ar"/>
        </w:rPr>
        <w:t>发掘</w:t>
      </w:r>
      <w:r>
        <w:rPr>
          <w:rFonts w:hint="eastAsia" w:ascii="仿宋_GB2312" w:hAnsi="仿宋_GB2312" w:eastAsia="仿宋_GB2312" w:cs="仿宋_GB2312"/>
          <w:color w:val="auto"/>
          <w:kern w:val="0"/>
          <w:sz w:val="32"/>
          <w:szCs w:val="32"/>
          <w:highlight w:val="none"/>
          <w:lang w:bidi="ar"/>
        </w:rPr>
        <w:t>专用高效农业微生物菌株</w:t>
      </w:r>
      <w:r>
        <w:rPr>
          <w:rFonts w:hint="eastAsia" w:ascii="仿宋_GB2312" w:hAnsi="仿宋_GB2312" w:eastAsia="仿宋_GB2312" w:cs="仿宋_GB2312"/>
          <w:color w:val="auto"/>
          <w:kern w:val="0"/>
          <w:sz w:val="32"/>
          <w:szCs w:val="32"/>
          <w:highlight w:val="none"/>
          <w:lang w:val="en-US" w:eastAsia="zh-CN" w:bidi="ar"/>
        </w:rPr>
        <w:t>3</w:t>
      </w:r>
      <w:r>
        <w:rPr>
          <w:rFonts w:hint="eastAsia" w:ascii="仿宋_GB2312" w:hAnsi="仿宋_GB2312" w:eastAsia="仿宋_GB2312" w:cs="仿宋_GB2312"/>
          <w:color w:val="auto"/>
          <w:kern w:val="0"/>
          <w:sz w:val="32"/>
          <w:szCs w:val="32"/>
          <w:highlight w:val="none"/>
          <w:lang w:bidi="ar"/>
        </w:rPr>
        <w:t>00株以上</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相关菌株的功能活性比目前国内已报道的同类菌种的功能活性提高10%以上</w:t>
      </w: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深度鉴评性能优异的菌种，挖掘功能基因或基因元器件5</w:t>
      </w:r>
      <w:r>
        <w:rPr>
          <w:rFonts w:hint="eastAsia" w:ascii="仿宋_GB2312" w:hAnsi="仿宋_GB2312" w:eastAsia="仿宋_GB2312" w:cs="仿宋_GB2312"/>
          <w:color w:val="auto"/>
          <w:kern w:val="0"/>
          <w:sz w:val="32"/>
          <w:szCs w:val="32"/>
          <w:highlight w:val="none"/>
          <w:lang w:bidi="ar"/>
        </w:rPr>
        <w:t>种以上</w:t>
      </w:r>
      <w:r>
        <w:rPr>
          <w:rFonts w:hint="eastAsia" w:ascii="仿宋_GB2312" w:hAnsi="仿宋_GB2312" w:eastAsia="仿宋_GB2312" w:cs="仿宋_GB2312"/>
          <w:color w:val="auto"/>
          <w:kern w:val="0"/>
          <w:sz w:val="32"/>
          <w:szCs w:val="32"/>
          <w:highlight w:val="none"/>
          <w:lang w:val="en-US" w:eastAsia="zh-CN" w:bidi="ar"/>
        </w:rPr>
        <w:t>，创制</w:t>
      </w:r>
      <w:r>
        <w:rPr>
          <w:rFonts w:hint="eastAsia" w:ascii="仿宋_GB2312" w:hAnsi="仿宋_GB2312" w:eastAsia="仿宋_GB2312" w:cs="仿宋_GB2312"/>
          <w:color w:val="auto"/>
          <w:kern w:val="0"/>
          <w:sz w:val="32"/>
          <w:szCs w:val="32"/>
          <w:highlight w:val="none"/>
          <w:lang w:bidi="ar"/>
        </w:rPr>
        <w:t>1种</w:t>
      </w:r>
      <w:r>
        <w:rPr>
          <w:rFonts w:hint="eastAsia" w:ascii="仿宋_GB2312" w:hAnsi="仿宋_GB2312" w:eastAsia="仿宋_GB2312" w:cs="仿宋_GB2312"/>
          <w:color w:val="auto"/>
          <w:kern w:val="0"/>
          <w:sz w:val="32"/>
          <w:szCs w:val="32"/>
          <w:highlight w:val="none"/>
          <w:lang w:eastAsia="zh-CN" w:bidi="ar"/>
        </w:rPr>
        <w:t>以上</w:t>
      </w:r>
      <w:r>
        <w:rPr>
          <w:rFonts w:hint="eastAsia" w:ascii="仿宋_GB2312" w:hAnsi="仿宋_GB2312" w:eastAsia="仿宋_GB2312" w:cs="仿宋_GB2312"/>
          <w:color w:val="auto"/>
          <w:kern w:val="0"/>
          <w:sz w:val="32"/>
          <w:szCs w:val="32"/>
          <w:highlight w:val="none"/>
          <w:lang w:val="en-US" w:eastAsia="zh-CN" w:bidi="ar"/>
        </w:rPr>
        <w:t>农业微生物</w:t>
      </w:r>
      <w:r>
        <w:rPr>
          <w:rFonts w:hint="eastAsia" w:ascii="仿宋_GB2312" w:hAnsi="仿宋_GB2312" w:eastAsia="仿宋_GB2312" w:cs="仿宋_GB2312"/>
          <w:color w:val="auto"/>
          <w:kern w:val="0"/>
          <w:sz w:val="32"/>
          <w:szCs w:val="32"/>
          <w:highlight w:val="none"/>
          <w:lang w:bidi="ar"/>
        </w:rPr>
        <w:t>新种质（种群）</w:t>
      </w:r>
      <w:r>
        <w:rPr>
          <w:rFonts w:hint="eastAsia" w:ascii="仿宋_GB2312" w:hAnsi="仿宋_GB2312" w:eastAsia="仿宋_GB2312" w:cs="仿宋_GB2312"/>
          <w:color w:val="auto"/>
          <w:kern w:val="0"/>
          <w:sz w:val="32"/>
          <w:szCs w:val="32"/>
          <w:highlight w:val="none"/>
          <w:lang w:eastAsia="zh-CN" w:bidi="ar"/>
        </w:rPr>
        <w:t>，比原始菌株效能提升</w:t>
      </w:r>
      <w:r>
        <w:rPr>
          <w:rFonts w:hint="eastAsia" w:ascii="仿宋_GB2312" w:hAnsi="仿宋_GB2312" w:eastAsia="仿宋_GB2312" w:cs="仿宋_GB2312"/>
          <w:color w:val="auto"/>
          <w:kern w:val="0"/>
          <w:sz w:val="32"/>
          <w:szCs w:val="32"/>
          <w:highlight w:val="none"/>
          <w:lang w:val="en-US" w:eastAsia="zh-CN" w:bidi="ar"/>
        </w:rPr>
        <w:t>10%以上，</w:t>
      </w:r>
      <w:r>
        <w:rPr>
          <w:rFonts w:hint="eastAsia" w:ascii="仿宋_GB2312" w:hAnsi="仿宋_GB2312" w:eastAsia="仿宋_GB2312" w:cs="仿宋_GB2312"/>
          <w:color w:val="auto"/>
          <w:kern w:val="0"/>
          <w:sz w:val="32"/>
          <w:szCs w:val="32"/>
          <w:highlight w:val="none"/>
          <w:lang w:eastAsia="zh-CN" w:bidi="ar"/>
        </w:rPr>
        <w:t>并实现产业化应用</w:t>
      </w:r>
      <w:r>
        <w:rPr>
          <w:rFonts w:hint="eastAsia" w:ascii="仿宋_GB2312" w:hAnsi="仿宋_GB2312" w:eastAsia="仿宋_GB2312" w:cs="仿宋_GB2312"/>
          <w:color w:val="auto"/>
          <w:kern w:val="0"/>
          <w:sz w:val="32"/>
          <w:szCs w:val="32"/>
          <w:highlight w:val="none"/>
          <w:lang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（4）申报主体与条件</w:t>
      </w:r>
    </w:p>
    <w:p>
      <w:pPr>
        <w:keepNext w:val="0"/>
        <w:keepLines w:val="0"/>
        <w:pageBreakBefore w:val="0"/>
        <w:widowControl w:val="0"/>
        <w:kinsoku/>
        <w:overflowPunct/>
        <w:topLinePunct w:val="0"/>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rPr>
      </w:pPr>
      <w:r>
        <w:rPr>
          <w:rFonts w:hint="eastAsia" w:ascii="仿宋_GB2312" w:hAnsi="仿宋_GB2312" w:eastAsia="仿宋_GB2312" w:cs="仿宋_GB2312"/>
          <w:caps w:val="0"/>
          <w:color w:val="auto"/>
          <w:spacing w:val="0"/>
          <w:kern w:val="0"/>
          <w:sz w:val="32"/>
          <w:szCs w:val="32"/>
          <w:highlight w:val="none"/>
          <w:lang w:val="en-US" w:eastAsia="zh-CN" w:bidi="ar"/>
        </w:rPr>
        <w:t>①申报主体为省级及以上事业单位。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②申报主体需在农业微生物种质创制方面有较好的技术积累和良好工作基础。</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lang w:val="en-US" w:eastAsia="zh-CN" w:bidi="ar"/>
        </w:rPr>
        <w:t>③申报主体具有较完善的项目和财务管理制度，信用记录良好。</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（5）实施周期和资金额度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rPr>
      </w:pPr>
      <w:r>
        <w:rPr>
          <w:rFonts w:hint="eastAsia" w:ascii="仿宋_GB2312" w:hAnsi="仿宋_GB2312" w:eastAsia="仿宋_GB2312" w:cs="仿宋_GB2312"/>
          <w:color w:val="auto"/>
          <w:kern w:val="0"/>
          <w:sz w:val="32"/>
          <w:szCs w:val="32"/>
          <w:highlight w:val="none"/>
          <w:lang w:val="en-US" w:eastAsia="zh-CN" w:bidi="ar"/>
        </w:rPr>
        <w:t>原则上项目实施周期</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3年，经年度中期评估合格的，实行滚动支持。每个项目每年度支持资金额度</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50万元。</w:t>
      </w: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6.靶向精准调控农作物生长的农业微生物菌种产业化</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lang w:val="en-US" w:eastAsia="zh-CN" w:bidi="ar"/>
        </w:rPr>
      </w:pPr>
      <w:r>
        <w:rPr>
          <w:rFonts w:hint="eastAsia" w:ascii="仿宋_GB2312" w:hAnsi="仿宋_GB2312" w:eastAsia="仿宋_GB2312" w:cs="仿宋_GB2312"/>
          <w:b/>
          <w:caps w:val="0"/>
          <w:color w:val="auto"/>
          <w:spacing w:val="0"/>
          <w:kern w:val="0"/>
          <w:sz w:val="32"/>
          <w:szCs w:val="32"/>
          <w:highlight w:val="none"/>
          <w:lang w:val="en-US" w:eastAsia="zh-CN" w:bidi="ar"/>
        </w:rPr>
        <w:t>（1）项目需求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right="0" w:rightChars="0" w:firstLine="640" w:firstLineChars="200"/>
        <w:jc w:val="both"/>
        <w:textAlignment w:val="auto"/>
        <w:rPr>
          <w:rFonts w:hint="eastAsia" w:ascii="仿宋_GB2312" w:hAnsi="仿宋_GB2312" w:eastAsia="仿宋_GB2312" w:cs="仿宋_GB2312"/>
          <w:b w:val="0"/>
          <w:bCs w:val="0"/>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围绕绿</w:t>
      </w:r>
      <w:r>
        <w:rPr>
          <w:rFonts w:hint="eastAsia" w:ascii="仿宋_GB2312" w:hAnsi="仿宋_GB2312" w:eastAsia="仿宋_GB2312" w:cs="仿宋_GB2312"/>
          <w:b w:val="0"/>
          <w:bCs w:val="0"/>
          <w:caps w:val="0"/>
          <w:color w:val="auto"/>
          <w:spacing w:val="0"/>
          <w:kern w:val="0"/>
          <w:sz w:val="32"/>
          <w:szCs w:val="32"/>
          <w:highlight w:val="none"/>
          <w:lang w:val="en-US" w:eastAsia="zh-CN" w:bidi="ar"/>
        </w:rPr>
        <w:t>色安全农业投入品需求，开展</w:t>
      </w:r>
      <w:r>
        <w:rPr>
          <w:rFonts w:hint="eastAsia" w:ascii="仿宋_GB2312" w:hAnsi="仿宋_GB2312" w:eastAsia="仿宋_GB2312" w:cs="仿宋_GB2312"/>
          <w:b w:val="0"/>
          <w:bCs w:val="0"/>
          <w:color w:val="auto"/>
          <w:kern w:val="0"/>
          <w:sz w:val="32"/>
          <w:szCs w:val="32"/>
          <w:highlight w:val="none"/>
        </w:rPr>
        <w:t>靶向精准调控农作物生长</w:t>
      </w:r>
      <w:r>
        <w:rPr>
          <w:rFonts w:hint="eastAsia" w:ascii="仿宋_GB2312" w:hAnsi="仿宋_GB2312" w:eastAsia="仿宋_GB2312" w:cs="仿宋_GB2312"/>
          <w:b w:val="0"/>
          <w:bCs w:val="0"/>
          <w:color w:val="auto"/>
          <w:kern w:val="0"/>
          <w:sz w:val="32"/>
          <w:szCs w:val="32"/>
          <w:highlight w:val="none"/>
          <w:lang w:eastAsia="zh-CN"/>
        </w:rPr>
        <w:t>的</w:t>
      </w:r>
      <w:r>
        <w:rPr>
          <w:rFonts w:hint="eastAsia" w:ascii="仿宋_GB2312" w:hAnsi="仿宋_GB2312" w:eastAsia="仿宋_GB2312" w:cs="仿宋_GB2312"/>
          <w:b w:val="0"/>
          <w:bCs w:val="0"/>
          <w:color w:val="auto"/>
          <w:kern w:val="0"/>
          <w:sz w:val="32"/>
          <w:szCs w:val="32"/>
          <w:highlight w:val="none"/>
        </w:rPr>
        <w:t>农业微生物菌种产业化</w:t>
      </w:r>
      <w:r>
        <w:rPr>
          <w:rFonts w:hint="eastAsia" w:ascii="仿宋_GB2312" w:hAnsi="仿宋_GB2312" w:eastAsia="仿宋_GB2312" w:cs="仿宋_GB2312"/>
          <w:b w:val="0"/>
          <w:bCs w:val="0"/>
          <w:color w:val="auto"/>
          <w:kern w:val="0"/>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caps w:val="0"/>
          <w:color w:val="auto"/>
          <w:spacing w:val="0"/>
          <w:kern w:val="0"/>
          <w:sz w:val="32"/>
          <w:szCs w:val="32"/>
          <w:highlight w:val="none"/>
          <w:lang w:val="en-US" w:eastAsia="zh-CN" w:bidi="ar"/>
        </w:rPr>
        <w:t>（2）建设内容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以高性能的靶向精准调控作物生长抗逆的农业微生物菌种为基础，攻克从高性能菌株（菌群）到高性能产品的高密度发酵、活力保持、性状稳定等关键技术难点、生产工艺，</w:t>
      </w:r>
      <w:r>
        <w:rPr>
          <w:rFonts w:hint="eastAsia" w:ascii="仿宋_GB2312" w:hAnsi="仿宋_GB2312" w:eastAsia="仿宋_GB2312" w:cs="仿宋_GB2312"/>
          <w:color w:val="auto"/>
          <w:kern w:val="0"/>
          <w:sz w:val="32"/>
          <w:szCs w:val="32"/>
          <w:highlight w:val="none"/>
          <w:lang w:val="en-US" w:eastAsia="zh-CN" w:bidi="ar"/>
        </w:rPr>
        <w:t>建立发酵工艺，</w:t>
      </w:r>
      <w:r>
        <w:rPr>
          <w:rFonts w:hint="eastAsia" w:ascii="仿宋_GB2312" w:hAnsi="仿宋_GB2312" w:eastAsia="仿宋_GB2312" w:cs="仿宋_GB2312"/>
          <w:color w:val="auto"/>
          <w:kern w:val="0"/>
          <w:sz w:val="32"/>
          <w:szCs w:val="32"/>
          <w:highlight w:val="none"/>
          <w:lang w:bidi="ar"/>
        </w:rPr>
        <w:t>建</w:t>
      </w:r>
      <w:r>
        <w:rPr>
          <w:rFonts w:hint="eastAsia" w:ascii="仿宋_GB2312" w:hAnsi="仿宋_GB2312" w:eastAsia="仿宋_GB2312" w:cs="仿宋_GB2312"/>
          <w:color w:val="auto"/>
          <w:kern w:val="0"/>
          <w:sz w:val="32"/>
          <w:szCs w:val="32"/>
          <w:highlight w:val="none"/>
          <w:lang w:eastAsia="zh-CN" w:bidi="ar"/>
        </w:rPr>
        <w:t>设</w:t>
      </w:r>
      <w:r>
        <w:rPr>
          <w:rFonts w:hint="eastAsia" w:ascii="仿宋_GB2312" w:hAnsi="仿宋_GB2312" w:eastAsia="仿宋_GB2312" w:cs="仿宋_GB2312"/>
          <w:color w:val="auto"/>
          <w:kern w:val="0"/>
          <w:sz w:val="32"/>
          <w:szCs w:val="32"/>
          <w:highlight w:val="none"/>
          <w:lang w:bidi="ar"/>
        </w:rPr>
        <w:t>农用微生物生产基地</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aps w:val="0"/>
          <w:color w:val="auto"/>
          <w:spacing w:val="0"/>
          <w:kern w:val="0"/>
          <w:sz w:val="32"/>
          <w:szCs w:val="32"/>
          <w:highlight w:val="none"/>
          <w:lang w:val="en-US" w:eastAsia="zh-CN" w:bidi="ar"/>
        </w:rPr>
        <w:t>研制出高性能菌剂产品，实现高效生产和产业化应用。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（3）绩效目标</w:t>
      </w:r>
    </w:p>
    <w:p>
      <w:pPr>
        <w:keepNext w:val="0"/>
        <w:keepLines w:val="0"/>
        <w:pageBreakBefore w:val="0"/>
        <w:kinsoku/>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val="en-US" w:eastAsia="zh-CN" w:bidi="ar"/>
        </w:rPr>
        <w:t>建立1套发酵工艺，生产固体菌剂活菌数达到50亿/克、液体菌剂活菌数达到100亿/毫升</w:t>
      </w:r>
      <w:r>
        <w:rPr>
          <w:rFonts w:hint="eastAsia" w:ascii="仿宋_GB2312" w:hAnsi="仿宋_GB2312" w:eastAsia="仿宋_GB2312" w:cs="仿宋_GB2312"/>
          <w:color w:val="auto"/>
          <w:kern w:val="0"/>
          <w:sz w:val="32"/>
          <w:szCs w:val="32"/>
          <w:highlight w:val="none"/>
          <w:lang w:bidi="ar"/>
        </w:rPr>
        <w:t>；建立</w:t>
      </w:r>
      <w:r>
        <w:rPr>
          <w:rFonts w:hint="eastAsia" w:ascii="仿宋_GB2312" w:hAnsi="仿宋_GB2312" w:eastAsia="仿宋_GB2312" w:cs="仿宋_GB2312"/>
          <w:color w:val="auto"/>
          <w:kern w:val="0"/>
          <w:sz w:val="32"/>
          <w:szCs w:val="32"/>
          <w:highlight w:val="none"/>
          <w:lang w:val="en-US" w:eastAsia="zh-CN" w:bidi="ar"/>
        </w:rPr>
        <w:t>1种</w:t>
      </w:r>
      <w:r>
        <w:rPr>
          <w:rFonts w:hint="eastAsia" w:ascii="仿宋_GB2312" w:hAnsi="仿宋_GB2312" w:eastAsia="仿宋_GB2312" w:cs="仿宋_GB2312"/>
          <w:color w:val="auto"/>
          <w:kern w:val="0"/>
          <w:sz w:val="32"/>
          <w:szCs w:val="32"/>
          <w:highlight w:val="none"/>
          <w:lang w:bidi="ar"/>
        </w:rPr>
        <w:t>菌种活性保持技术，1年后固体菌剂菌数达到10亿/克、液体20亿/毫升；建成农用微生物生产基地1个，年产能达到10000吨以上；产品推广面积超过200万亩，促进作物生长增产5%，减少肥料使用量10%，节约成本20%以上。</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（4）申报主体与条件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lang w:val="en-US" w:eastAsia="zh-CN" w:bidi="ar"/>
        </w:rPr>
        <w:t>①申报主体为省级及以上事业单位、企业。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lang w:val="en-US" w:eastAsia="zh-CN" w:bidi="ar"/>
        </w:rPr>
        <w:t>②申报主体应在</w:t>
      </w:r>
      <w:r>
        <w:rPr>
          <w:rFonts w:hint="eastAsia" w:ascii="仿宋_GB2312" w:hAnsi="仿宋_GB2312" w:eastAsia="仿宋_GB2312" w:cs="仿宋_GB2312"/>
          <w:color w:val="auto"/>
          <w:kern w:val="0"/>
          <w:sz w:val="32"/>
          <w:szCs w:val="32"/>
          <w:highlight w:val="none"/>
          <w:lang w:val="en-US" w:eastAsia="zh-CN" w:bidi="ar"/>
        </w:rPr>
        <w:t>农业微生物菌种研发</w:t>
      </w:r>
      <w:r>
        <w:rPr>
          <w:rFonts w:hint="eastAsia" w:ascii="仿宋_GB2312" w:hAnsi="仿宋_GB2312" w:eastAsia="仿宋_GB2312" w:cs="仿宋_GB2312"/>
          <w:caps w:val="0"/>
          <w:color w:val="auto"/>
          <w:spacing w:val="0"/>
          <w:kern w:val="0"/>
          <w:sz w:val="32"/>
          <w:szCs w:val="32"/>
          <w:highlight w:val="none"/>
          <w:lang w:val="en-US" w:eastAsia="zh-CN" w:bidi="ar"/>
        </w:rPr>
        <w:t>方面有较好的技术积累和良好工作基础。</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rPr>
      </w:pPr>
      <w:r>
        <w:rPr>
          <w:rFonts w:hint="eastAsia" w:ascii="仿宋_GB2312" w:hAnsi="仿宋_GB2312" w:eastAsia="仿宋_GB2312" w:cs="仿宋_GB2312"/>
          <w:caps w:val="0"/>
          <w:color w:val="auto"/>
          <w:spacing w:val="0"/>
          <w:kern w:val="0"/>
          <w:sz w:val="32"/>
          <w:szCs w:val="32"/>
          <w:highlight w:val="none"/>
          <w:lang w:val="en-US" w:eastAsia="zh-CN" w:bidi="ar"/>
        </w:rPr>
        <w:t>③申报主体具有较完善的项目和财务管理制度，信用记录良好。</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rightChars="0" w:firstLine="643" w:firstLineChars="200"/>
        <w:jc w:val="both"/>
        <w:textAlignment w:val="auto"/>
        <w:rPr>
          <w:rFonts w:hint="eastAsia" w:ascii="仿宋_GB2312" w:hAnsi="仿宋_GB2312" w:eastAsia="仿宋_GB2312" w:cs="仿宋_GB2312"/>
          <w:b/>
          <w:caps w:val="0"/>
          <w:color w:val="auto"/>
          <w:spacing w:val="0"/>
          <w:kern w:val="0"/>
          <w:sz w:val="32"/>
          <w:szCs w:val="32"/>
          <w:highlight w:val="none"/>
        </w:rPr>
      </w:pPr>
      <w:r>
        <w:rPr>
          <w:rFonts w:hint="eastAsia" w:ascii="仿宋_GB2312" w:hAnsi="仿宋_GB2312" w:eastAsia="仿宋_GB2312" w:cs="仿宋_GB2312"/>
          <w:b/>
          <w:caps w:val="0"/>
          <w:color w:val="auto"/>
          <w:spacing w:val="0"/>
          <w:kern w:val="0"/>
          <w:sz w:val="32"/>
          <w:szCs w:val="32"/>
          <w:highlight w:val="none"/>
          <w:lang w:val="en-US" w:eastAsia="zh-CN" w:bidi="ar"/>
        </w:rPr>
        <w:t>（5）实施周期和资金额度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原则上项目实施周期</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3年，经年度中期评估合格的，实行滚动支持。每年度支持资金额度</w:t>
      </w:r>
      <w:r>
        <w:rPr>
          <w:rFonts w:hint="eastAsia" w:ascii="仿宋_GB2312" w:hAnsi="仿宋_GB2312" w:eastAsia="仿宋_GB2312" w:cs="仿宋_GB2312"/>
          <w:color w:val="auto"/>
          <w:kern w:val="0"/>
          <w:sz w:val="32"/>
          <w:szCs w:val="32"/>
          <w:highlight w:val="none"/>
          <w:lang w:val="en-US" w:eastAsia="zh-CN"/>
        </w:rPr>
        <w:t>不超过</w:t>
      </w:r>
      <w:r>
        <w:rPr>
          <w:rFonts w:hint="eastAsia" w:ascii="仿宋_GB2312" w:hAnsi="仿宋_GB2312" w:eastAsia="仿宋_GB2312" w:cs="仿宋_GB2312"/>
          <w:color w:val="auto"/>
          <w:kern w:val="0"/>
          <w:sz w:val="32"/>
          <w:szCs w:val="32"/>
          <w:highlight w:val="none"/>
          <w:lang w:val="en-US" w:eastAsia="zh-CN" w:bidi="ar"/>
        </w:rPr>
        <w:t>100万元。</w:t>
      </w: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w:t>
      </w:r>
      <w:r>
        <w:rPr>
          <w:rFonts w:hint="eastAsia" w:ascii="仿宋_GB2312" w:hAnsi="仿宋_GB2312" w:eastAsia="仿宋_GB2312" w:cs="仿宋_GB2312"/>
          <w:color w:val="auto"/>
          <w:kern w:val="0"/>
          <w:sz w:val="32"/>
          <w:szCs w:val="32"/>
          <w:highlight w:val="none"/>
          <w:lang w:val="en-US" w:eastAsia="zh-CN" w:bidi="ar"/>
        </w:rPr>
        <w:t>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三、基地与平台建设类项目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1.甘薯种苗繁育能力提升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项目需求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在珠三角、粤东、粤西地区布局建设高标准、规范化的甘薯良种繁育中心，提升甘薯健康种苗供苗能力。</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重点新建或改扩建甘薯种苗脱毒</w:t>
      </w:r>
      <w:r>
        <w:rPr>
          <w:rFonts w:hint="eastAsia" w:ascii="仿宋_GB2312" w:hAnsi="仿宋_GB2312" w:eastAsia="仿宋_GB2312" w:cs="仿宋_GB2312"/>
          <w:color w:val="auto"/>
          <w:kern w:val="0"/>
          <w:sz w:val="32"/>
          <w:szCs w:val="32"/>
          <w:highlight w:val="none"/>
        </w:rPr>
        <w:t>组培</w:t>
      </w:r>
      <w:r>
        <w:rPr>
          <w:rFonts w:hint="eastAsia" w:ascii="仿宋_GB2312" w:hAnsi="仿宋_GB2312" w:eastAsia="仿宋_GB2312" w:cs="仿宋_GB2312"/>
          <w:color w:val="auto"/>
          <w:kern w:val="0"/>
          <w:sz w:val="32"/>
          <w:szCs w:val="32"/>
          <w:highlight w:val="none"/>
          <w:lang w:val="en-US" w:eastAsia="zh-CN"/>
        </w:rPr>
        <w:t>室、</w:t>
      </w:r>
      <w:r>
        <w:rPr>
          <w:rFonts w:hint="eastAsia" w:ascii="仿宋_GB2312" w:hAnsi="仿宋_GB2312" w:eastAsia="仿宋_GB2312" w:cs="仿宋_GB2312"/>
          <w:color w:val="auto"/>
          <w:kern w:val="0"/>
          <w:sz w:val="32"/>
          <w:szCs w:val="32"/>
          <w:highlight w:val="none"/>
        </w:rPr>
        <w:t>网室大棚群和繁苗基地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制定规范化脱毒种苗繁育</w:t>
      </w:r>
      <w:r>
        <w:rPr>
          <w:rFonts w:hint="eastAsia" w:ascii="仿宋_GB2312" w:hAnsi="仿宋_GB2312" w:eastAsia="仿宋_GB2312" w:cs="仿宋_GB2312"/>
          <w:color w:val="auto"/>
          <w:kern w:val="0"/>
          <w:sz w:val="32"/>
          <w:szCs w:val="32"/>
          <w:highlight w:val="none"/>
          <w:lang w:val="en-US" w:eastAsia="zh-CN"/>
        </w:rPr>
        <w:t>生产</w:t>
      </w:r>
      <w:r>
        <w:rPr>
          <w:rFonts w:hint="eastAsia" w:ascii="仿宋_GB2312" w:hAnsi="仿宋_GB2312" w:eastAsia="仿宋_GB2312" w:cs="仿宋_GB2312"/>
          <w:color w:val="auto"/>
          <w:kern w:val="0"/>
          <w:sz w:val="32"/>
          <w:szCs w:val="32"/>
          <w:highlight w:val="none"/>
        </w:rPr>
        <w:t>技术</w:t>
      </w:r>
      <w:r>
        <w:rPr>
          <w:rFonts w:hint="eastAsia" w:ascii="仿宋_GB2312" w:hAnsi="仿宋_GB2312" w:eastAsia="仿宋_GB2312" w:cs="仿宋_GB2312"/>
          <w:color w:val="auto"/>
          <w:kern w:val="0"/>
          <w:sz w:val="32"/>
          <w:szCs w:val="32"/>
          <w:highlight w:val="none"/>
          <w:lang w:val="en-US" w:eastAsia="zh-CN"/>
        </w:rPr>
        <w:t>规程团体标准，利用组织培养等技术开展</w:t>
      </w:r>
      <w:r>
        <w:rPr>
          <w:rFonts w:hint="eastAsia" w:ascii="仿宋_GB2312" w:hAnsi="仿宋_GB2312" w:eastAsia="仿宋_GB2312" w:cs="仿宋_GB2312"/>
          <w:caps w:val="0"/>
          <w:color w:val="auto"/>
          <w:spacing w:val="0"/>
          <w:kern w:val="0"/>
          <w:sz w:val="32"/>
          <w:szCs w:val="32"/>
          <w:highlight w:val="none"/>
          <w:lang w:val="en-US" w:eastAsia="zh-CN"/>
        </w:rPr>
        <w:t>甘薯健康种苗繁育</w:t>
      </w:r>
      <w:r>
        <w:rPr>
          <w:rFonts w:hint="eastAsia" w:ascii="仿宋_GB2312" w:hAnsi="仿宋_GB2312" w:eastAsia="仿宋_GB2312" w:cs="仿宋_GB2312"/>
          <w:color w:val="auto"/>
          <w:kern w:val="0"/>
          <w:sz w:val="32"/>
          <w:szCs w:val="32"/>
          <w:highlight w:val="none"/>
          <w:lang w:val="en-US" w:eastAsia="zh-CN"/>
        </w:rPr>
        <w:t>。新建或改扩建</w:t>
      </w:r>
      <w:r>
        <w:rPr>
          <w:rFonts w:hint="eastAsia" w:ascii="仿宋_GB2312" w:hAnsi="仿宋_GB2312" w:eastAsia="仿宋_GB2312" w:cs="仿宋_GB2312"/>
          <w:caps w:val="0"/>
          <w:color w:val="auto"/>
          <w:spacing w:val="0"/>
          <w:kern w:val="0"/>
          <w:sz w:val="32"/>
          <w:szCs w:val="32"/>
          <w:highlight w:val="none"/>
          <w:lang w:val="en-US" w:eastAsia="zh-CN"/>
        </w:rPr>
        <w:t>组培室400平方米、新建网室大棚100亩以上或改扩建200亩以上，并配备相应规模的大田扩繁基地。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绩效目标</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bidi="ar-SA"/>
        </w:rPr>
      </w:pPr>
      <w:r>
        <w:rPr>
          <w:rFonts w:hint="eastAsia" w:ascii="仿宋_GB2312" w:hAnsi="仿宋_GB2312" w:eastAsia="仿宋_GB2312" w:cs="仿宋_GB2312"/>
          <w:caps w:val="0"/>
          <w:color w:val="auto"/>
          <w:spacing w:val="0"/>
          <w:sz w:val="32"/>
          <w:szCs w:val="32"/>
          <w:highlight w:val="none"/>
          <w:lang w:val="en-US" w:eastAsia="zh-CN"/>
        </w:rPr>
        <w:t>实现年产自</w:t>
      </w:r>
      <w:r>
        <w:rPr>
          <w:rFonts w:hint="eastAsia" w:ascii="仿宋_GB2312" w:hAnsi="仿宋_GB2312" w:eastAsia="仿宋_GB2312" w:cs="仿宋_GB2312"/>
          <w:caps w:val="0"/>
          <w:color w:val="auto"/>
          <w:spacing w:val="0"/>
          <w:sz w:val="32"/>
          <w:szCs w:val="32"/>
          <w:highlight w:val="none"/>
          <w:lang w:val="en-US" w:eastAsia="zh-CN" w:bidi="ar-SA"/>
        </w:rPr>
        <w:t>繁健康甘薯种苗5亿株以上,甘薯健康种苗合格率达到90%以上。制定规范化脱毒种苗繁育生产技术规程团体标准1项。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w:t>
      </w:r>
      <w:r>
        <w:rPr>
          <w:rFonts w:hint="eastAsia" w:ascii="仿宋_GB2312" w:hAnsi="仿宋_GB2312" w:eastAsia="仿宋_GB2312" w:cs="仿宋_GB2312"/>
          <w:caps w:val="0"/>
          <w:color w:val="auto"/>
          <w:spacing w:val="0"/>
          <w:kern w:val="0"/>
          <w:sz w:val="32"/>
          <w:szCs w:val="32"/>
          <w:highlight w:val="none"/>
          <w:lang w:val="en-US" w:eastAsia="zh-CN" w:bidi="ar-SA"/>
        </w:rPr>
        <w:t>主体为省级及以上事业单位牵头，联合企业共同申报。企业项目资金占比80%以上。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w:t>
      </w:r>
      <w:r>
        <w:rPr>
          <w:rFonts w:hint="eastAsia" w:ascii="仿宋_GB2312" w:hAnsi="仿宋_GB2312" w:eastAsia="仿宋_GB2312" w:cs="仿宋_GB2312"/>
          <w:caps w:val="0"/>
          <w:color w:val="auto"/>
          <w:spacing w:val="0"/>
          <w:kern w:val="0"/>
          <w:sz w:val="32"/>
          <w:szCs w:val="32"/>
          <w:highlight w:val="none"/>
          <w:lang w:val="en-US" w:eastAsia="zh-CN" w:bidi="ar-SA"/>
        </w:rPr>
        <w:t>申</w:t>
      </w:r>
      <w:r>
        <w:rPr>
          <w:rFonts w:hint="eastAsia" w:ascii="仿宋_GB2312" w:hAnsi="仿宋_GB2312" w:eastAsia="仿宋_GB2312" w:cs="仿宋_GB2312"/>
          <w:color w:val="auto"/>
          <w:kern w:val="0"/>
          <w:sz w:val="32"/>
          <w:szCs w:val="32"/>
          <w:highlight w:val="none"/>
          <w:lang w:val="en-US" w:eastAsia="zh-CN"/>
        </w:rPr>
        <w:t>报主体应在甘薯种苗繁育方面有较好的技术积累和良好的工作基础。参与企业具有农作物种子生产经营许可证。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每个基地财政资金一次性支持不超过400万元，项目申报主体至少按申请财政资金1:1的比例配套，项目实施周期为2年。项目</w:t>
      </w:r>
      <w:r>
        <w:rPr>
          <w:rFonts w:hint="eastAsia" w:ascii="仿宋_GB2312" w:hAnsi="仿宋_GB2312" w:eastAsia="仿宋_GB2312" w:cs="仿宋_GB2312"/>
          <w:color w:val="auto"/>
          <w:kern w:val="0"/>
          <w:sz w:val="32"/>
          <w:szCs w:val="32"/>
          <w:highlight w:val="none"/>
          <w:lang w:eastAsia="zh-CN"/>
        </w:rPr>
        <w:t>申报主体须根据实际需求自行测算项目需求金额，</w:t>
      </w:r>
      <w:r>
        <w:rPr>
          <w:rFonts w:hint="eastAsia" w:ascii="仿宋_GB2312" w:hAnsi="仿宋_GB2312" w:eastAsia="仿宋_GB2312" w:cs="仿宋_GB2312"/>
          <w:color w:val="auto"/>
          <w:kern w:val="0"/>
          <w:sz w:val="32"/>
          <w:szCs w:val="32"/>
          <w:highlight w:val="none"/>
          <w:lang w:val="en-US" w:eastAsia="zh-CN"/>
        </w:rPr>
        <w:t>申报书测定的项目需求金额应提供资金测算过程及测算依据，项目预算金额测算是否详细、可行、有佐证依据将纳入评审标准。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2.创建国家级水稻制种大县和省级水稻制种大县</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项目需求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启动国家级和省级水稻制种大县建设，聚焦种子生产、加工短板弱项，推动优势基地与龙头企业合作共建，完善制种基地相关基础设施，提升种子生产能力和种源供给安全水平。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（2）建设内容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统筹规划集中连片制种区域，完善制种基地相关设施设备，建设种子加工储藏仓库、中转加工仓库等，购置种子加工设备、烘干设备等。引进至少两家规模种子企业入驻开展水稻制种，提档升级应用制种新技术、新装备，提高基地“标准化、规模化、集约化、机械化、信息化”水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国家级制种大县：制种基地设施设备完善，种业产业链条现代化水平凸显，杂交水稻年制种面积达到并稳定在2万亩以上（以全国农作物种业统计系统数据为准）。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val="en-US" w:eastAsia="zh-CN"/>
        </w:rPr>
        <w:t>省级制种大县：制种基地设施设备完善，种业产业链条现代化水平基本实现，杂交水稻年制种面积达到并稳定在1万亩以上（以全国农作物种业统计系统数据为准）。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w:t>
      </w:r>
      <w:r>
        <w:rPr>
          <w:rFonts w:hint="eastAsia" w:ascii="仿宋_GB2312" w:hAnsi="仿宋_GB2312" w:eastAsia="仿宋_GB2312" w:cs="仿宋_GB2312"/>
          <w:caps w:val="0"/>
          <w:color w:val="auto"/>
          <w:spacing w:val="0"/>
          <w:kern w:val="0"/>
          <w:sz w:val="32"/>
          <w:szCs w:val="32"/>
          <w:highlight w:val="none"/>
          <w:lang w:val="en-US" w:eastAsia="zh-CN"/>
        </w:rPr>
        <w:t>申报主体为</w:t>
      </w:r>
      <w:r>
        <w:rPr>
          <w:rFonts w:hint="eastAsia" w:ascii="仿宋_GB2312" w:hAnsi="仿宋_GB2312" w:eastAsia="仿宋_GB2312" w:cs="仿宋_GB2312"/>
          <w:color w:val="auto"/>
          <w:kern w:val="0"/>
          <w:sz w:val="32"/>
          <w:szCs w:val="32"/>
          <w:highlight w:val="none"/>
          <w:lang w:val="en-US" w:eastAsia="zh-CN"/>
        </w:rPr>
        <w:t>县级人民政</w:t>
      </w:r>
      <w:r>
        <w:rPr>
          <w:rFonts w:hint="eastAsia" w:ascii="仿宋_GB2312" w:hAnsi="仿宋_GB2312" w:eastAsia="仿宋_GB2312" w:cs="仿宋_GB2312"/>
          <w:caps w:val="0"/>
          <w:color w:val="auto"/>
          <w:spacing w:val="0"/>
          <w:kern w:val="0"/>
          <w:sz w:val="32"/>
          <w:szCs w:val="32"/>
          <w:highlight w:val="none"/>
          <w:lang w:val="en-US" w:eastAsia="zh-CN"/>
        </w:rPr>
        <w:t>府，组织种业企业实施。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②申报主体所在地在水稻制种方面有较好的基础和地理优势。申报国家制种大县的，现有水稻制种面积1万亩以上；申报省级制种大县的，现有水稻制种面积5000亩以上。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国家级制种大县一次性支持资金额度不超过500万元，省级制种大县一次性支持资金额度不超过300万元，项目实施周期为1年。项目</w:t>
      </w:r>
      <w:r>
        <w:rPr>
          <w:rFonts w:hint="eastAsia" w:ascii="仿宋_GB2312" w:hAnsi="仿宋_GB2312" w:eastAsia="仿宋_GB2312" w:cs="仿宋_GB2312"/>
          <w:color w:val="auto"/>
          <w:kern w:val="0"/>
          <w:sz w:val="32"/>
          <w:szCs w:val="32"/>
          <w:highlight w:val="none"/>
          <w:lang w:eastAsia="zh-CN"/>
        </w:rPr>
        <w:t>申报主体须根据实际需求自行测算项目需求金额，申报书测定的项目需求金</w:t>
      </w:r>
      <w:r>
        <w:rPr>
          <w:rFonts w:hint="eastAsia" w:ascii="仿宋_GB2312" w:hAnsi="仿宋_GB2312" w:eastAsia="仿宋_GB2312" w:cs="仿宋_GB2312"/>
          <w:b w:val="0"/>
          <w:bCs w:val="0"/>
          <w:color w:val="auto"/>
          <w:kern w:val="0"/>
          <w:sz w:val="32"/>
          <w:szCs w:val="32"/>
          <w:highlight w:val="none"/>
          <w:lang w:eastAsia="zh-CN"/>
        </w:rPr>
        <w:t>额应提供资金测算过程及测算依据，项目预算金额测算是否详细、可行、有佐证依据将纳入评审</w:t>
      </w:r>
      <w:r>
        <w:rPr>
          <w:rFonts w:hint="eastAsia" w:ascii="仿宋_GB2312" w:hAnsi="仿宋_GB2312" w:eastAsia="仿宋_GB2312" w:cs="仿宋_GB2312"/>
          <w:b w:val="0"/>
          <w:bCs w:val="0"/>
          <w:color w:val="auto"/>
          <w:kern w:val="0"/>
          <w:sz w:val="32"/>
          <w:szCs w:val="32"/>
          <w:highlight w:val="none"/>
          <w:lang w:val="en-US" w:eastAsia="zh-CN"/>
        </w:rPr>
        <w:t>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3.荔枝良种采穗圃建设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项目需求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eastAsia="zh-CN"/>
        </w:rPr>
        <w:t>围绕荔枝品种结构调整需求，按照《广东荔枝产业高质量发展三年行动计划（</w:t>
      </w:r>
      <w:r>
        <w:rPr>
          <w:rFonts w:hint="eastAsia" w:ascii="仿宋_GB2312" w:hAnsi="仿宋_GB2312" w:eastAsia="仿宋_GB2312" w:cs="仿宋_GB2312"/>
          <w:caps w:val="0"/>
          <w:color w:val="auto"/>
          <w:spacing w:val="0"/>
          <w:kern w:val="0"/>
          <w:sz w:val="32"/>
          <w:szCs w:val="32"/>
          <w:highlight w:val="none"/>
          <w:lang w:val="en-US" w:eastAsia="zh-CN"/>
        </w:rPr>
        <w:t>2021-2023年</w:t>
      </w:r>
      <w:r>
        <w:rPr>
          <w:rFonts w:hint="eastAsia" w:ascii="仿宋_GB2312" w:hAnsi="仿宋_GB2312" w:eastAsia="仿宋_GB2312" w:cs="仿宋_GB2312"/>
          <w:caps w:val="0"/>
          <w:color w:val="auto"/>
          <w:spacing w:val="0"/>
          <w:kern w:val="0"/>
          <w:sz w:val="32"/>
          <w:szCs w:val="32"/>
          <w:highlight w:val="none"/>
          <w:lang w:eastAsia="zh-CN"/>
        </w:rPr>
        <w:t>）》规划要求</w:t>
      </w:r>
      <w:r>
        <w:rPr>
          <w:rFonts w:hint="eastAsia" w:ascii="仿宋_GB2312" w:hAnsi="仿宋_GB2312" w:eastAsia="仿宋_GB2312" w:cs="仿宋_GB2312"/>
          <w:caps w:val="0"/>
          <w:color w:val="auto"/>
          <w:spacing w:val="0"/>
          <w:kern w:val="0"/>
          <w:sz w:val="32"/>
          <w:szCs w:val="32"/>
          <w:highlight w:val="none"/>
          <w:lang w:val="en-US" w:eastAsia="zh-CN"/>
        </w:rPr>
        <w:t>，在</w:t>
      </w:r>
      <w:r>
        <w:rPr>
          <w:rFonts w:hint="eastAsia" w:ascii="仿宋_GB2312" w:hAnsi="仿宋_GB2312" w:eastAsia="仿宋_GB2312" w:cs="仿宋_GB2312"/>
          <w:caps w:val="0"/>
          <w:color w:val="auto"/>
          <w:spacing w:val="0"/>
          <w:kern w:val="0"/>
          <w:sz w:val="32"/>
          <w:szCs w:val="32"/>
          <w:highlight w:val="none"/>
          <w:lang w:eastAsia="zh-CN"/>
        </w:rPr>
        <w:t>粤东、粤西、珠三角布局建设</w:t>
      </w:r>
      <w:r>
        <w:rPr>
          <w:rFonts w:hint="eastAsia" w:ascii="仿宋_GB2312" w:hAnsi="仿宋_GB2312" w:eastAsia="仿宋_GB2312" w:cs="仿宋_GB2312"/>
          <w:caps w:val="0"/>
          <w:color w:val="auto"/>
          <w:spacing w:val="0"/>
          <w:kern w:val="0"/>
          <w:sz w:val="32"/>
          <w:szCs w:val="32"/>
          <w:highlight w:val="none"/>
          <w:lang w:val="en-US" w:eastAsia="zh-CN"/>
        </w:rPr>
        <w:t>荔枝良种采穗圃，</w:t>
      </w:r>
      <w:r>
        <w:rPr>
          <w:rFonts w:hint="eastAsia" w:ascii="仿宋_GB2312" w:hAnsi="仿宋_GB2312" w:eastAsia="仿宋_GB2312" w:cs="仿宋_GB2312"/>
          <w:caps w:val="0"/>
          <w:color w:val="auto"/>
          <w:spacing w:val="0"/>
          <w:kern w:val="0"/>
          <w:sz w:val="32"/>
          <w:szCs w:val="32"/>
          <w:highlight w:val="none"/>
          <w:lang w:eastAsia="zh-CN"/>
        </w:rPr>
        <w:t>保障我省优质荔枝品种接穗的供应。</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重点建设荔枝良种采穗圃，主要完善相应的</w:t>
      </w:r>
      <w:r>
        <w:rPr>
          <w:rFonts w:hint="eastAsia" w:ascii="仿宋_GB2312" w:hAnsi="仿宋_GB2312" w:eastAsia="仿宋_GB2312" w:cs="仿宋_GB2312"/>
          <w:caps w:val="0"/>
          <w:color w:val="auto"/>
          <w:spacing w:val="0"/>
          <w:kern w:val="0"/>
          <w:sz w:val="32"/>
          <w:szCs w:val="32"/>
          <w:highlight w:val="none"/>
          <w:lang w:eastAsia="zh-CN"/>
        </w:rPr>
        <w:t>基础设施，购置农机具</w:t>
      </w:r>
      <w:r>
        <w:rPr>
          <w:rFonts w:hint="eastAsia" w:ascii="仿宋_GB2312" w:hAnsi="仿宋_GB2312" w:eastAsia="仿宋_GB2312" w:cs="仿宋_GB2312"/>
          <w:caps w:val="0"/>
          <w:color w:val="auto"/>
          <w:spacing w:val="0"/>
          <w:kern w:val="0"/>
          <w:sz w:val="32"/>
          <w:szCs w:val="32"/>
          <w:highlight w:val="none"/>
          <w:lang w:val="en-US" w:eastAsia="zh-CN"/>
        </w:rPr>
        <w:t>，田间管理和产量补贴等，为荔枝生产提供优良接穗</w:t>
      </w:r>
      <w:r>
        <w:rPr>
          <w:rFonts w:hint="eastAsia" w:ascii="仿宋_GB2312" w:hAnsi="仿宋_GB2312" w:eastAsia="仿宋_GB2312" w:cs="仿宋_GB2312"/>
          <w:caps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aps w:val="0"/>
          <w:color w:val="auto"/>
          <w:spacing w:val="0"/>
          <w:kern w:val="0"/>
          <w:sz w:val="32"/>
          <w:szCs w:val="32"/>
          <w:highlight w:val="none"/>
          <w:lang w:eastAsia="zh-CN"/>
        </w:rPr>
        <w:t>每个</w:t>
      </w:r>
      <w:r>
        <w:rPr>
          <w:rFonts w:hint="eastAsia" w:ascii="仿宋_GB2312" w:hAnsi="仿宋_GB2312" w:eastAsia="仿宋_GB2312" w:cs="仿宋_GB2312"/>
          <w:caps w:val="0"/>
          <w:color w:val="auto"/>
          <w:spacing w:val="0"/>
          <w:kern w:val="0"/>
          <w:sz w:val="32"/>
          <w:szCs w:val="32"/>
          <w:highlight w:val="none"/>
          <w:lang w:val="en-US" w:eastAsia="zh-CN"/>
        </w:rPr>
        <w:t>采穗圃需</w:t>
      </w:r>
      <w:r>
        <w:rPr>
          <w:rFonts w:hint="eastAsia" w:ascii="仿宋_GB2312" w:hAnsi="仿宋_GB2312" w:eastAsia="仿宋_GB2312" w:cs="仿宋_GB2312"/>
          <w:caps w:val="0"/>
          <w:color w:val="auto"/>
          <w:spacing w:val="0"/>
          <w:kern w:val="0"/>
          <w:sz w:val="32"/>
          <w:szCs w:val="32"/>
          <w:highlight w:val="none"/>
          <w:lang w:eastAsia="zh-CN"/>
        </w:rPr>
        <w:t>建成200亩以上的优质荔枝品种采穗圃，供应荔枝品种更新换代的接穗。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①申报主体为省级及以上事业单位、企业。</w:t>
      </w:r>
      <w:r>
        <w:rPr>
          <w:rFonts w:hint="eastAsia" w:ascii="仿宋_GB2312" w:hAnsi="仿宋_GB2312" w:eastAsia="仿宋_GB2312" w:cs="仿宋_GB2312"/>
          <w:caps w:val="0"/>
          <w:color w:val="auto"/>
          <w:spacing w:val="0"/>
          <w:kern w:val="0"/>
          <w:sz w:val="32"/>
          <w:szCs w:val="32"/>
          <w:highlight w:val="none"/>
          <w:lang w:val="en-US" w:eastAsia="zh-CN" w:bidi="ar"/>
        </w:rPr>
        <w:t>鼓励事业单位与企业联合申报。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②申报主体应具备荔枝采穗圃建设基础设施条件。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③申报主体具有较完善的项目和财务管理制度，信用记录良好。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项目实施周期为1年。每个采穗圃项目支持资金额度不超过200万元。项目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申报主体需根据实际需求自行测算项目需求金额，申报书测定的项目需求金额应提供资金测算过程及测算依据，项目预</w:t>
      </w:r>
      <w:r>
        <w:rPr>
          <w:rFonts w:hint="eastAsia" w:ascii="仿宋_GB2312" w:hAnsi="仿宋_GB2312" w:eastAsia="仿宋_GB2312" w:cs="仿宋_GB2312"/>
          <w:b w:val="0"/>
          <w:bCs w:val="0"/>
          <w:color w:val="auto"/>
          <w:kern w:val="0"/>
          <w:sz w:val="32"/>
          <w:szCs w:val="32"/>
          <w:highlight w:val="none"/>
          <w:lang w:eastAsia="zh-CN"/>
        </w:rPr>
        <w:t>算金额测算是否详细、可行、有佐证依据将纳入评审</w:t>
      </w:r>
      <w:r>
        <w:rPr>
          <w:rFonts w:hint="eastAsia" w:ascii="仿宋_GB2312" w:hAnsi="仿宋_GB2312" w:eastAsia="仿宋_GB2312" w:cs="仿宋_GB2312"/>
          <w:b w:val="0"/>
          <w:bCs w:val="0"/>
          <w:color w:val="auto"/>
          <w:kern w:val="0"/>
          <w:sz w:val="32"/>
          <w:szCs w:val="32"/>
          <w:highlight w:val="none"/>
          <w:lang w:val="en-US" w:eastAsia="zh-CN"/>
        </w:rPr>
        <w:t>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4.蔬菜优良品种种苗繁育及产业化</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项目需求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在珠三角、粤北等地区布局建设以育嫁接苗为主的</w:t>
      </w:r>
      <w:r>
        <w:rPr>
          <w:rFonts w:hint="eastAsia" w:ascii="仿宋_GB2312" w:hAnsi="仿宋_GB2312" w:eastAsia="仿宋_GB2312" w:cs="仿宋_GB2312"/>
          <w:color w:val="auto"/>
          <w:kern w:val="0"/>
          <w:sz w:val="32"/>
          <w:szCs w:val="32"/>
          <w:highlight w:val="none"/>
        </w:rPr>
        <w:t>工厂化、集约化、规模化</w:t>
      </w:r>
      <w:r>
        <w:rPr>
          <w:rFonts w:hint="eastAsia" w:ascii="仿宋_GB2312" w:hAnsi="仿宋_GB2312" w:eastAsia="仿宋_GB2312" w:cs="仿宋_GB2312"/>
          <w:color w:val="auto"/>
          <w:kern w:val="0"/>
          <w:sz w:val="32"/>
          <w:szCs w:val="32"/>
          <w:highlight w:val="none"/>
          <w:lang w:val="en-US" w:eastAsia="zh-CN"/>
        </w:rPr>
        <w:t>蔬菜育苗中心，</w:t>
      </w:r>
      <w:r>
        <w:rPr>
          <w:rFonts w:hint="eastAsia" w:ascii="仿宋_GB2312" w:hAnsi="仿宋_GB2312" w:eastAsia="仿宋_GB2312" w:cs="仿宋_GB2312"/>
          <w:caps w:val="0"/>
          <w:color w:val="auto"/>
          <w:spacing w:val="0"/>
          <w:kern w:val="0"/>
          <w:sz w:val="32"/>
          <w:szCs w:val="32"/>
          <w:highlight w:val="none"/>
          <w:lang w:val="en-US" w:eastAsia="zh-CN"/>
        </w:rPr>
        <w:t>提升我省优质蔬菜种苗的供苗能力</w:t>
      </w:r>
      <w:r>
        <w:rPr>
          <w:rFonts w:hint="eastAsia" w:ascii="仿宋_GB2312" w:hAnsi="仿宋_GB2312" w:eastAsia="仿宋_GB2312" w:cs="仿宋_GB2312"/>
          <w:caps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应用新设施、新技术、新装备，重点建设工厂化、集约化、规模化育苗大棚，功能生产车间等，制定主要蔬菜品种育苗团体标准，提高蔬菜育苗设施现代化水平。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3）</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aps w:val="0"/>
          <w:color w:val="auto"/>
          <w:spacing w:val="0"/>
          <w:kern w:val="0"/>
          <w:sz w:val="32"/>
          <w:szCs w:val="32"/>
          <w:highlight w:val="none"/>
          <w:lang w:val="en-US" w:eastAsia="zh-CN"/>
        </w:rPr>
      </w:pPr>
      <w:r>
        <w:rPr>
          <w:rFonts w:hint="eastAsia" w:ascii="仿宋_GB2312" w:hAnsi="仿宋_GB2312" w:eastAsia="仿宋_GB2312" w:cs="仿宋_GB2312"/>
          <w:caps w:val="0"/>
          <w:color w:val="auto"/>
          <w:spacing w:val="0"/>
          <w:kern w:val="0"/>
          <w:sz w:val="32"/>
          <w:szCs w:val="32"/>
          <w:highlight w:val="none"/>
          <w:lang w:val="en-US" w:eastAsia="zh-CN"/>
        </w:rPr>
        <w:t>建成后，每个育苗中心设施面积达到100亩以上，包括：</w:t>
      </w:r>
      <w:r>
        <w:rPr>
          <w:rFonts w:hint="eastAsia" w:ascii="仿宋_GB2312" w:hAnsi="仿宋_GB2312" w:eastAsia="仿宋_GB2312" w:cs="仿宋_GB2312"/>
          <w:color w:val="auto"/>
          <w:kern w:val="0"/>
          <w:sz w:val="32"/>
          <w:szCs w:val="32"/>
          <w:highlight w:val="none"/>
        </w:rPr>
        <w:t>工厂化</w:t>
      </w:r>
      <w:r>
        <w:rPr>
          <w:rFonts w:hint="eastAsia" w:ascii="仿宋_GB2312" w:hAnsi="仿宋_GB2312" w:eastAsia="仿宋_GB2312" w:cs="仿宋_GB2312"/>
          <w:caps w:val="0"/>
          <w:color w:val="auto"/>
          <w:spacing w:val="0"/>
          <w:kern w:val="0"/>
          <w:sz w:val="32"/>
          <w:szCs w:val="32"/>
          <w:highlight w:val="none"/>
          <w:lang w:val="en-US" w:eastAsia="zh-CN"/>
        </w:rPr>
        <w:t>、集约化、规模化育苗大棚，功能生产车间等。建立主要蔬菜品种育苗团体标准3-5项，实现年产蔬菜种苗1亿株以上。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w:t>
      </w:r>
      <w:r>
        <w:rPr>
          <w:rFonts w:hint="eastAsia" w:ascii="仿宋_GB2312" w:hAnsi="仿宋_GB2312" w:eastAsia="仿宋_GB2312" w:cs="仿宋_GB2312"/>
          <w:caps w:val="0"/>
          <w:color w:val="auto"/>
          <w:spacing w:val="0"/>
          <w:kern w:val="0"/>
          <w:sz w:val="32"/>
          <w:szCs w:val="32"/>
          <w:highlight w:val="none"/>
          <w:lang w:val="en-US" w:eastAsia="zh-CN" w:bidi="ar"/>
        </w:rPr>
        <w:t>省级及以上事业单位牵头，联合企业共同申报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aps w:val="0"/>
          <w:color w:val="auto"/>
          <w:spacing w:val="0"/>
          <w:kern w:val="0"/>
          <w:sz w:val="32"/>
          <w:szCs w:val="32"/>
          <w:highlight w:val="none"/>
          <w:lang w:val="en-US" w:eastAsia="zh-CN" w:bidi="ar-SA"/>
        </w:rPr>
        <w:t>企业项目资金占比80%以上。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②申报主体应具备蔬菜育苗经验，</w:t>
      </w:r>
      <w:r>
        <w:rPr>
          <w:rFonts w:hint="eastAsia" w:ascii="仿宋_GB2312" w:hAnsi="仿宋_GB2312" w:eastAsia="仿宋_GB2312" w:cs="仿宋_GB2312"/>
          <w:color w:val="auto"/>
          <w:kern w:val="0"/>
          <w:sz w:val="32"/>
          <w:szCs w:val="32"/>
          <w:highlight w:val="none"/>
        </w:rPr>
        <w:t>有较好的技术积累和良好的工作基础。</w:t>
      </w:r>
      <w:r>
        <w:rPr>
          <w:rFonts w:hint="eastAsia" w:ascii="仿宋_GB2312" w:hAnsi="仿宋_GB2312" w:eastAsia="仿宋_GB2312" w:cs="仿宋_GB2312"/>
          <w:color w:val="auto"/>
          <w:kern w:val="0"/>
          <w:sz w:val="32"/>
          <w:szCs w:val="32"/>
          <w:highlight w:val="none"/>
          <w:lang w:eastAsia="zh-CN"/>
        </w:rPr>
        <w:t>参与企业</w:t>
      </w:r>
      <w:r>
        <w:rPr>
          <w:rFonts w:hint="eastAsia" w:ascii="仿宋_GB2312" w:hAnsi="仿宋_GB2312" w:eastAsia="仿宋_GB2312" w:cs="仿宋_GB2312"/>
          <w:color w:val="auto"/>
          <w:kern w:val="0"/>
          <w:sz w:val="32"/>
          <w:szCs w:val="32"/>
          <w:highlight w:val="none"/>
          <w:lang w:val="en-US" w:eastAsia="zh-CN"/>
        </w:rPr>
        <w:t>具有农作物种子生产经营许可证。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spacing w:val="-9"/>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③申</w:t>
      </w:r>
      <w:r>
        <w:rPr>
          <w:rFonts w:hint="eastAsia" w:ascii="仿宋_GB2312" w:hAnsi="仿宋_GB2312" w:eastAsia="仿宋_GB2312" w:cs="仿宋_GB2312"/>
          <w:color w:val="auto"/>
          <w:spacing w:val="-9"/>
          <w:kern w:val="0"/>
          <w:sz w:val="32"/>
          <w:szCs w:val="32"/>
          <w:highlight w:val="none"/>
          <w:lang w:val="en-US" w:eastAsia="zh-CN"/>
        </w:rPr>
        <w:t>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每个育苗中心财政资金一次性支持不超过500万元，项目申报主体至少按申请财政资金1:1的比例配套，项目实施周期为2年。项目</w:t>
      </w:r>
      <w:r>
        <w:rPr>
          <w:rFonts w:hint="eastAsia" w:ascii="仿宋_GB2312" w:hAnsi="仿宋_GB2312" w:eastAsia="仿宋_GB2312" w:cs="仿宋_GB2312"/>
          <w:color w:val="auto"/>
          <w:kern w:val="0"/>
          <w:sz w:val="32"/>
          <w:szCs w:val="32"/>
          <w:highlight w:val="none"/>
          <w:lang w:eastAsia="zh-CN"/>
        </w:rPr>
        <w:t>申报主体须根据实际需求自行测算项目需求金额，</w:t>
      </w:r>
      <w:r>
        <w:rPr>
          <w:rFonts w:hint="eastAsia" w:ascii="仿宋_GB2312" w:hAnsi="仿宋_GB2312" w:eastAsia="仿宋_GB2312" w:cs="仿宋_GB2312"/>
          <w:color w:val="auto"/>
          <w:kern w:val="0"/>
          <w:sz w:val="32"/>
          <w:szCs w:val="32"/>
          <w:highlight w:val="none"/>
          <w:lang w:val="en-US" w:eastAsia="zh-CN"/>
        </w:rPr>
        <w:t>申报书测定的项目需求金额应提供资金测算过程及测算依据，项目预算金额测算是否详细、可行、有佐证依据将纳入评审标准。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val="en-US" w:eastAsia="zh-CN"/>
        </w:rPr>
      </w:pPr>
      <w:r>
        <w:rPr>
          <w:rFonts w:hint="eastAsia" w:ascii="仿宋_GB2312" w:hAnsi="仿宋_GB2312" w:eastAsia="仿宋_GB2312" w:cs="仿宋_GB2312"/>
          <w:b/>
          <w:bCs/>
          <w:caps w:val="0"/>
          <w:color w:val="auto"/>
          <w:spacing w:val="0"/>
          <w:kern w:val="0"/>
          <w:sz w:val="32"/>
          <w:szCs w:val="32"/>
          <w:highlight w:val="none"/>
          <w:lang w:val="en-US" w:eastAsia="zh-CN"/>
        </w:rPr>
        <w:t>5.农作物精准育种创新平台建设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1）</w:t>
      </w:r>
      <w:r>
        <w:rPr>
          <w:rFonts w:hint="eastAsia" w:ascii="仿宋_GB2312" w:hAnsi="仿宋_GB2312" w:eastAsia="仿宋_GB2312" w:cs="仿宋_GB2312"/>
          <w:b/>
          <w:bCs/>
          <w:caps w:val="0"/>
          <w:color w:val="auto"/>
          <w:spacing w:val="0"/>
          <w:kern w:val="0"/>
          <w:sz w:val="32"/>
          <w:szCs w:val="32"/>
          <w:highlight w:val="none"/>
          <w:lang w:eastAsia="zh-CN"/>
        </w:rPr>
        <w:t>项目需求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color w:val="auto"/>
          <w:kern w:val="0"/>
          <w:sz w:val="32"/>
          <w:szCs w:val="32"/>
          <w:highlight w:val="none"/>
        </w:rPr>
        <w:t>搭建从工具酶、载体系统、设计和分析，以及技术咨询、共享和合作为一体的综合性精准育种平台</w:t>
      </w:r>
      <w:r>
        <w:rPr>
          <w:rFonts w:hint="eastAsia" w:ascii="仿宋_GB2312" w:hAnsi="仿宋_GB2312" w:eastAsia="仿宋_GB2312" w:cs="仿宋_GB2312"/>
          <w:color w:val="auto"/>
          <w:kern w:val="0"/>
          <w:sz w:val="32"/>
          <w:szCs w:val="32"/>
          <w:highlight w:val="none"/>
          <w:lang w:eastAsia="zh-CN"/>
        </w:rPr>
        <w:t>，快速提升农作物精准育种效率</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lang w:eastAsia="zh-C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auto"/>
          <w:kern w:val="0"/>
          <w:sz w:val="32"/>
          <w:szCs w:val="32"/>
          <w:highlight w:val="none"/>
        </w:rPr>
        <w:t>挖掘具有自主知识产权的CRISPR新型基因编辑工具酶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开发用于农作物精准育种的衍生系统</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开发高通量的基因编辑体系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搭建一体化的基于基因编辑系统的</w:t>
      </w:r>
      <w:r>
        <w:rPr>
          <w:rFonts w:hint="eastAsia" w:ascii="仿宋_GB2312" w:hAnsi="仿宋_GB2312" w:eastAsia="仿宋_GB2312" w:cs="仿宋_GB2312"/>
          <w:color w:val="auto"/>
          <w:kern w:val="0"/>
          <w:sz w:val="32"/>
          <w:szCs w:val="32"/>
          <w:highlight w:val="none"/>
          <w:lang w:eastAsia="zh-CN"/>
        </w:rPr>
        <w:t>农作物</w:t>
      </w:r>
      <w:r>
        <w:rPr>
          <w:rFonts w:hint="eastAsia" w:ascii="仿宋_GB2312" w:hAnsi="仿宋_GB2312" w:eastAsia="仿宋_GB2312" w:cs="仿宋_GB2312"/>
          <w:color w:val="auto"/>
          <w:kern w:val="0"/>
          <w:sz w:val="32"/>
          <w:szCs w:val="32"/>
          <w:highlight w:val="none"/>
        </w:rPr>
        <w:t>精准育种服务平台</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2）</w:t>
      </w:r>
      <w:r>
        <w:rPr>
          <w:rFonts w:hint="eastAsia" w:ascii="仿宋_GB2312" w:hAnsi="仿宋_GB2312" w:eastAsia="仿宋_GB2312" w:cs="仿宋_GB2312"/>
          <w:b/>
          <w:bCs/>
          <w:caps w:val="0"/>
          <w:color w:val="auto"/>
          <w:spacing w:val="0"/>
          <w:kern w:val="0"/>
          <w:sz w:val="32"/>
          <w:szCs w:val="32"/>
          <w:highlight w:val="none"/>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挖掘新型CRISPR工具酶1-2个，明确其加工位点，及其在植物中的编辑效率和特异性；利用自主开发的基因编辑工具酶，开发用于农作物基因敲除、碱基替换和引导编辑的载体系统1-2个，开发高通量的基因编辑体系1套；搭建一体化的基于基因编辑系统的精准育种服务平台1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4</w:t>
      </w: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rPr>
        <w:t>申报</w:t>
      </w:r>
      <w:r>
        <w:rPr>
          <w:rFonts w:hint="eastAsia" w:ascii="仿宋_GB2312" w:hAnsi="仿宋_GB2312" w:eastAsia="仿宋_GB2312" w:cs="仿宋_GB2312"/>
          <w:b/>
          <w:bCs/>
          <w:caps w:val="0"/>
          <w:color w:val="auto"/>
          <w:spacing w:val="0"/>
          <w:kern w:val="0"/>
          <w:sz w:val="32"/>
          <w:szCs w:val="32"/>
          <w:highlight w:val="none"/>
          <w:lang w:eastAsia="zh-CN"/>
        </w:rPr>
        <w:t>主体</w:t>
      </w:r>
      <w:r>
        <w:rPr>
          <w:rFonts w:hint="eastAsia" w:ascii="仿宋_GB2312" w:hAnsi="仿宋_GB2312" w:eastAsia="仿宋_GB2312" w:cs="仿宋_GB2312"/>
          <w:b/>
          <w:bCs/>
          <w:caps w:val="0"/>
          <w:color w:val="auto"/>
          <w:spacing w:val="0"/>
          <w:kern w:val="0"/>
          <w:sz w:val="32"/>
          <w:szCs w:val="32"/>
          <w:highlight w:val="none"/>
        </w:rPr>
        <w:t>与条件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①申报主体为省级及以上事业单位。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②申报主体具有较完善的项目和财务管理制度，信用记录良好。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both"/>
        <w:textAlignment w:val="auto"/>
        <w:rPr>
          <w:rFonts w:hint="eastAsia" w:ascii="仿宋_GB2312" w:hAnsi="仿宋_GB2312" w:eastAsia="仿宋_GB2312" w:cs="仿宋_GB2312"/>
          <w:b/>
          <w:bCs/>
          <w:caps w:val="0"/>
          <w:color w:val="auto"/>
          <w:spacing w:val="0"/>
          <w:kern w:val="0"/>
          <w:sz w:val="32"/>
          <w:szCs w:val="32"/>
          <w:highlight w:val="none"/>
          <w:lang w:eastAsia="zh-CN"/>
        </w:rPr>
      </w:pPr>
      <w:r>
        <w:rPr>
          <w:rFonts w:hint="eastAsia" w:ascii="仿宋_GB2312" w:hAnsi="仿宋_GB2312" w:eastAsia="仿宋_GB2312" w:cs="仿宋_GB2312"/>
          <w:b/>
          <w:bCs/>
          <w:caps w:val="0"/>
          <w:color w:val="auto"/>
          <w:spacing w:val="0"/>
          <w:kern w:val="0"/>
          <w:sz w:val="32"/>
          <w:szCs w:val="32"/>
          <w:highlight w:val="none"/>
          <w:lang w:eastAsia="zh-CN"/>
        </w:rPr>
        <w:t>（</w:t>
      </w:r>
      <w:r>
        <w:rPr>
          <w:rFonts w:hint="eastAsia" w:ascii="仿宋_GB2312" w:hAnsi="仿宋_GB2312" w:eastAsia="仿宋_GB2312" w:cs="仿宋_GB2312"/>
          <w:b/>
          <w:bCs/>
          <w:caps w:val="0"/>
          <w:color w:val="auto"/>
          <w:spacing w:val="0"/>
          <w:kern w:val="0"/>
          <w:sz w:val="32"/>
          <w:szCs w:val="32"/>
          <w:highlight w:val="none"/>
          <w:lang w:val="en-US" w:eastAsia="zh-CN"/>
        </w:rPr>
        <w:t>5</w:t>
      </w:r>
      <w:r>
        <w:rPr>
          <w:rFonts w:hint="eastAsia" w:ascii="仿宋_GB2312" w:hAnsi="仿宋_GB2312" w:eastAsia="仿宋_GB2312" w:cs="仿宋_GB2312"/>
          <w:b/>
          <w:bCs/>
          <w:caps w:val="0"/>
          <w:color w:val="auto"/>
          <w:spacing w:val="0"/>
          <w:kern w:val="0"/>
          <w:sz w:val="32"/>
          <w:szCs w:val="32"/>
          <w:highlight w:val="none"/>
        </w:rPr>
        <w:t>）</w:t>
      </w:r>
      <w:r>
        <w:rPr>
          <w:rFonts w:hint="eastAsia" w:ascii="仿宋_GB2312" w:hAnsi="仿宋_GB2312" w:eastAsia="仿宋_GB2312" w:cs="仿宋_GB2312"/>
          <w:b/>
          <w:bCs/>
          <w:caps w:val="0"/>
          <w:color w:val="auto"/>
          <w:spacing w:val="0"/>
          <w:kern w:val="0"/>
          <w:sz w:val="32"/>
          <w:szCs w:val="32"/>
          <w:highlight w:val="none"/>
          <w:lang w:eastAsia="zh-CN"/>
        </w:rPr>
        <w:t>实施周期和资金额度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项目实施周期为1年。项目支持资金额度不超过500万元。项目</w:t>
      </w:r>
      <w:r>
        <w:rPr>
          <w:rFonts w:hint="eastAsia" w:ascii="仿宋_GB2312" w:hAnsi="仿宋_GB2312" w:eastAsia="仿宋_GB2312" w:cs="仿宋_GB2312"/>
          <w:color w:val="auto"/>
          <w:kern w:val="0"/>
          <w:sz w:val="32"/>
          <w:szCs w:val="32"/>
          <w:highlight w:val="none"/>
          <w:lang w:eastAsia="zh-CN"/>
        </w:rPr>
        <w:t>申报主体需根据实际需求自行测算项目需求金额，申报书测定的项目需求金额应提供资金测算过程及测算依据，项目预</w:t>
      </w:r>
      <w:r>
        <w:rPr>
          <w:rFonts w:hint="eastAsia" w:ascii="仿宋_GB2312" w:hAnsi="仿宋_GB2312" w:eastAsia="仿宋_GB2312" w:cs="仿宋_GB2312"/>
          <w:b w:val="0"/>
          <w:bCs w:val="0"/>
          <w:color w:val="auto"/>
          <w:kern w:val="0"/>
          <w:sz w:val="32"/>
          <w:szCs w:val="32"/>
          <w:highlight w:val="none"/>
          <w:lang w:eastAsia="zh-CN"/>
        </w:rPr>
        <w:t>算金额测算是否详细、可行、有佐证依据将纳入评审</w:t>
      </w:r>
      <w:r>
        <w:rPr>
          <w:rFonts w:hint="eastAsia" w:ascii="仿宋_GB2312" w:hAnsi="仿宋_GB2312" w:eastAsia="仿宋_GB2312" w:cs="仿宋_GB2312"/>
          <w:b w:val="0"/>
          <w:bCs w:val="0"/>
          <w:color w:val="auto"/>
          <w:kern w:val="0"/>
          <w:sz w:val="32"/>
          <w:szCs w:val="32"/>
          <w:highlight w:val="none"/>
          <w:lang w:val="en-US" w:eastAsia="zh-CN"/>
        </w:rPr>
        <w:t>标准。</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lang w:val="en-US" w:eastAsia="zh-CN"/>
        </w:rPr>
        <w:sectPr>
          <w:pgSz w:w="11906" w:h="16838"/>
          <w:pgMar w:top="1871" w:right="1531" w:bottom="1871" w:left="1531" w:header="851" w:footer="1417" w:gutter="0"/>
          <w:pgNumType w:fmt="decimal"/>
          <w:cols w:space="720" w:num="1"/>
          <w:titlePg/>
          <w:rtlGutter w:val="0"/>
          <w:docGrid w:type="lines" w:linePitch="595" w:charSpace="0"/>
        </w:sectPr>
      </w:pPr>
    </w:p>
    <w:p>
      <w:pPr>
        <w:pStyle w:val="7"/>
        <w:widowControl w:val="0"/>
        <w:numPr>
          <w:ilvl w:val="0"/>
          <w:numId w:val="0"/>
        </w:numPr>
        <w:shd w:val="clear" w:color="auto" w:fill="auto"/>
        <w:adjustRightInd w:val="0"/>
        <w:snapToGrid w:val="0"/>
        <w:spacing w:before="0" w:beforeAutospacing="0" w:after="0" w:afterAutospacing="0" w:line="568" w:lineRule="exact"/>
        <w:ind w:leftChars="0" w:right="0" w:rightChars="0"/>
        <w:jc w:val="both"/>
        <w:rPr>
          <w:rFonts w:hint="default" w:ascii="方正小标宋简体" w:hAnsi="方正小标宋简体" w:eastAsia="方正小标宋简体" w:cs="方正小标宋简体"/>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附件2</w:t>
      </w:r>
    </w:p>
    <w:p>
      <w:pPr>
        <w:pStyle w:val="7"/>
        <w:widowControl w:val="0"/>
        <w:numPr>
          <w:ilvl w:val="0"/>
          <w:numId w:val="0"/>
        </w:numPr>
        <w:shd w:val="clear" w:color="auto" w:fill="auto"/>
        <w:adjustRightInd w:val="0"/>
        <w:snapToGrid w:val="0"/>
        <w:spacing w:before="0" w:beforeAutospacing="0" w:after="0" w:afterAutospacing="0" w:line="568" w:lineRule="exact"/>
        <w:ind w:leftChars="0" w:right="0" w:rightChars="0"/>
        <w:jc w:val="center"/>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bidi="ar-SA"/>
        </w:rPr>
      </w:pPr>
    </w:p>
    <w:p>
      <w:pPr>
        <w:pStyle w:val="7"/>
        <w:widowControl w:val="0"/>
        <w:numPr>
          <w:ilvl w:val="0"/>
          <w:numId w:val="0"/>
        </w:numPr>
        <w:shd w:val="clear" w:color="auto" w:fill="auto"/>
        <w:adjustRightInd w:val="0"/>
        <w:snapToGrid w:val="0"/>
        <w:spacing w:before="0" w:beforeAutospacing="0" w:after="0" w:afterAutospacing="0" w:line="568" w:lineRule="exact"/>
        <w:ind w:leftChars="0" w:right="0" w:rightChars="0"/>
        <w:jc w:val="center"/>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bidi="ar-SA"/>
        </w:rPr>
      </w:pPr>
      <w:r>
        <w:rPr>
          <w:rFonts w:hint="eastAsia" w:ascii="方正小标宋简体" w:hAnsi="方正小标宋简体" w:eastAsia="方正小标宋简体" w:cs="方正小标宋简体"/>
          <w:b w:val="0"/>
          <w:bCs w:val="0"/>
          <w:snapToGrid w:val="0"/>
          <w:color w:val="auto"/>
          <w:spacing w:val="0"/>
          <w:kern w:val="0"/>
          <w:sz w:val="44"/>
          <w:szCs w:val="44"/>
          <w:highlight w:val="none"/>
          <w:lang w:val="en-US" w:eastAsia="zh-CN" w:bidi="ar-SA"/>
        </w:rPr>
        <w:t>2023年省级种业振兴行动专项资金项目入库申报汇总表</w:t>
      </w:r>
    </w:p>
    <w:p>
      <w:pPr>
        <w:pStyle w:val="7"/>
        <w:widowControl w:val="0"/>
        <w:numPr>
          <w:ilvl w:val="0"/>
          <w:numId w:val="0"/>
        </w:numPr>
        <w:shd w:val="clear" w:color="auto" w:fill="auto"/>
        <w:adjustRightInd w:val="0"/>
        <w:snapToGrid w:val="0"/>
        <w:spacing w:before="0" w:beforeAutospacing="0" w:after="0" w:afterAutospacing="0" w:line="568" w:lineRule="exact"/>
        <w:ind w:leftChars="0" w:right="0" w:rightChars="0"/>
        <w:jc w:val="both"/>
        <w:rPr>
          <w:rFonts w:hint="eastAsia" w:ascii="方正小标宋简体" w:hAnsi="方正小标宋简体" w:eastAsia="方正小标宋简体" w:cs="方正小标宋简体"/>
          <w:b w:val="0"/>
          <w:bCs w:val="0"/>
          <w:snapToGrid w:val="0"/>
          <w:color w:val="auto"/>
          <w:spacing w:val="0"/>
          <w:kern w:val="0"/>
          <w:sz w:val="24"/>
          <w:szCs w:val="24"/>
          <w:highlight w:val="none"/>
          <w:lang w:val="en-US" w:eastAsia="zh-CN" w:bidi="ar-SA"/>
        </w:rPr>
      </w:pPr>
    </w:p>
    <w:p>
      <w:pPr>
        <w:pStyle w:val="7"/>
        <w:widowControl w:val="0"/>
        <w:numPr>
          <w:ilvl w:val="0"/>
          <w:numId w:val="0"/>
        </w:numPr>
        <w:shd w:val="clear" w:color="auto" w:fill="auto"/>
        <w:adjustRightInd w:val="0"/>
        <w:snapToGrid w:val="0"/>
        <w:spacing w:before="0" w:beforeAutospacing="0" w:after="0" w:afterAutospacing="0" w:line="568" w:lineRule="exact"/>
        <w:ind w:leftChars="0" w:right="0" w:rightChars="0" w:firstLine="720" w:firstLineChars="300"/>
        <w:jc w:val="both"/>
        <w:rPr>
          <w:rFonts w:hint="eastAsia" w:ascii="仿宋_GB2312" w:hAnsi="仿宋_GB2312" w:eastAsia="仿宋_GB2312" w:cs="仿宋_GB2312"/>
          <w:b w:val="0"/>
          <w:bCs w:val="0"/>
          <w:snapToGrid w:val="0"/>
          <w:color w:val="auto"/>
          <w:spacing w:val="0"/>
          <w:kern w:val="0"/>
          <w:sz w:val="24"/>
          <w:szCs w:val="24"/>
          <w:highlight w:val="none"/>
          <w:lang w:val="en-US" w:eastAsia="zh-CN" w:bidi="ar-SA"/>
        </w:rPr>
      </w:pPr>
      <w:r>
        <w:rPr>
          <w:rFonts w:hint="eastAsia" w:ascii="仿宋_GB2312" w:hAnsi="仿宋_GB2312" w:eastAsia="仿宋_GB2312" w:cs="仿宋_GB2312"/>
          <w:b w:val="0"/>
          <w:bCs w:val="0"/>
          <w:snapToGrid w:val="0"/>
          <w:color w:val="auto"/>
          <w:spacing w:val="0"/>
          <w:kern w:val="0"/>
          <w:sz w:val="24"/>
          <w:szCs w:val="24"/>
          <w:highlight w:val="none"/>
          <w:lang w:val="en-US" w:eastAsia="zh-CN" w:bidi="ar-SA"/>
        </w:rPr>
        <w:t>填报单位（地级市农业农村局/省直及中央驻粤事业单位）：（盖章）</w:t>
      </w:r>
    </w:p>
    <w:tbl>
      <w:tblPr>
        <w:tblStyle w:val="9"/>
        <w:tblW w:w="12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768"/>
        <w:gridCol w:w="1089"/>
        <w:gridCol w:w="1411"/>
        <w:gridCol w:w="1250"/>
        <w:gridCol w:w="1178"/>
        <w:gridCol w:w="1817"/>
        <w:gridCol w:w="1249"/>
        <w:gridCol w:w="182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center"/>
          </w:tcPr>
          <w:p>
            <w:pPr>
              <w:keepNext w:val="0"/>
              <w:keepLines w:val="0"/>
              <w:widowControl w:val="0"/>
              <w:suppressLineNumbers w:val="0"/>
              <w:adjustRightInd w:val="0"/>
              <w:snapToGrid w:val="0"/>
              <w:jc w:val="center"/>
              <w:textAlignment w:val="center"/>
              <w:rPr>
                <w:rFonts w:hint="eastAsia" w:ascii="黑体" w:hAnsi="宋体" w:eastAsia="黑体" w:cs="黑体"/>
                <w:i w:val="0"/>
                <w:color w:val="auto"/>
                <w:kern w:val="0"/>
                <w:sz w:val="21"/>
                <w:szCs w:val="21"/>
                <w:u w:val="none"/>
                <w:lang w:val="en-US" w:eastAsia="zh-CN" w:bidi="ar"/>
              </w:rPr>
            </w:pPr>
            <w:r>
              <w:rPr>
                <w:rFonts w:hint="eastAsia" w:ascii="黑体" w:hAnsi="宋体" w:eastAsia="黑体" w:cs="黑体"/>
                <w:i w:val="0"/>
                <w:color w:val="auto"/>
                <w:kern w:val="0"/>
                <w:sz w:val="21"/>
                <w:szCs w:val="21"/>
                <w:u w:val="none"/>
                <w:lang w:val="en-US" w:eastAsia="zh-CN" w:bidi="ar"/>
              </w:rPr>
              <w:t>所属年份</w:t>
            </w:r>
          </w:p>
        </w:tc>
        <w:tc>
          <w:tcPr>
            <w:tcW w:w="768" w:type="dxa"/>
            <w:noWrap w:val="0"/>
            <w:vAlign w:val="center"/>
          </w:tcPr>
          <w:p>
            <w:pPr>
              <w:keepNext w:val="0"/>
              <w:keepLines w:val="0"/>
              <w:widowControl w:val="0"/>
              <w:suppressLineNumbers w:val="0"/>
              <w:adjustRightInd w:val="0"/>
              <w:snapToGrid w:val="0"/>
              <w:jc w:val="center"/>
              <w:textAlignment w:val="center"/>
              <w:rPr>
                <w:rFonts w:hint="eastAsia" w:ascii="黑体" w:hAnsi="宋体" w:eastAsia="黑体" w:cs="黑体"/>
                <w:i w:val="0"/>
                <w:color w:val="auto"/>
                <w:kern w:val="0"/>
                <w:sz w:val="21"/>
                <w:szCs w:val="21"/>
                <w:u w:val="none"/>
                <w:lang w:val="en-US" w:eastAsia="zh-CN" w:bidi="ar"/>
              </w:rPr>
            </w:pPr>
            <w:r>
              <w:rPr>
                <w:rFonts w:hint="eastAsia" w:ascii="黑体" w:hAnsi="宋体" w:eastAsia="黑体" w:cs="黑体"/>
                <w:i w:val="0"/>
                <w:color w:val="auto"/>
                <w:kern w:val="0"/>
                <w:sz w:val="21"/>
                <w:szCs w:val="21"/>
                <w:u w:val="none"/>
                <w:lang w:val="en-US" w:eastAsia="zh-CN" w:bidi="ar"/>
              </w:rPr>
              <w:t>序号</w:t>
            </w:r>
          </w:p>
        </w:tc>
        <w:tc>
          <w:tcPr>
            <w:tcW w:w="1089"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项目类型</w:t>
            </w:r>
          </w:p>
        </w:tc>
        <w:tc>
          <w:tcPr>
            <w:tcW w:w="1411"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扶持品种</w:t>
            </w:r>
          </w:p>
        </w:tc>
        <w:tc>
          <w:tcPr>
            <w:tcW w:w="1250"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项目名称</w:t>
            </w:r>
          </w:p>
        </w:tc>
        <w:tc>
          <w:tcPr>
            <w:tcW w:w="1178"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项目牵头申报单位</w:t>
            </w:r>
          </w:p>
        </w:tc>
        <w:tc>
          <w:tcPr>
            <w:tcW w:w="1817"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项目负责人</w:t>
            </w:r>
          </w:p>
        </w:tc>
        <w:tc>
          <w:tcPr>
            <w:tcW w:w="1249"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建设内容</w:t>
            </w:r>
          </w:p>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（限100字以内）</w:t>
            </w:r>
          </w:p>
        </w:tc>
        <w:tc>
          <w:tcPr>
            <w:tcW w:w="1820"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绩效</w:t>
            </w:r>
          </w:p>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（限100字以内）</w:t>
            </w:r>
          </w:p>
        </w:tc>
        <w:tc>
          <w:tcPr>
            <w:tcW w:w="1087" w:type="dxa"/>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noWrap w:val="0"/>
            <w:vAlign w:val="top"/>
          </w:tcPr>
          <w:p>
            <w:pPr>
              <w:adjustRightInd w:val="0"/>
              <w:snapToGrid w:val="0"/>
              <w:rPr>
                <w:rFonts w:hint="eastAsia"/>
                <w:color w:val="auto"/>
                <w:sz w:val="21"/>
                <w:szCs w:val="21"/>
                <w:vertAlign w:val="baseline"/>
              </w:rPr>
            </w:pPr>
          </w:p>
        </w:tc>
        <w:tc>
          <w:tcPr>
            <w:tcW w:w="768" w:type="dxa"/>
            <w:noWrap w:val="0"/>
            <w:vAlign w:val="top"/>
          </w:tcPr>
          <w:p>
            <w:pPr>
              <w:adjustRightInd w:val="0"/>
              <w:snapToGrid w:val="0"/>
              <w:rPr>
                <w:rFonts w:hint="eastAsia"/>
                <w:color w:val="auto"/>
                <w:sz w:val="21"/>
                <w:szCs w:val="21"/>
                <w:vertAlign w:val="baseline"/>
              </w:rPr>
            </w:pPr>
          </w:p>
        </w:tc>
        <w:tc>
          <w:tcPr>
            <w:tcW w:w="1089" w:type="dxa"/>
            <w:noWrap w:val="0"/>
            <w:vAlign w:val="top"/>
          </w:tcPr>
          <w:p>
            <w:pPr>
              <w:adjustRightInd w:val="0"/>
              <w:snapToGrid w:val="0"/>
              <w:rPr>
                <w:rFonts w:hint="eastAsia"/>
                <w:color w:val="auto"/>
                <w:sz w:val="21"/>
                <w:szCs w:val="21"/>
                <w:vertAlign w:val="baseline"/>
              </w:rPr>
            </w:pPr>
          </w:p>
        </w:tc>
        <w:tc>
          <w:tcPr>
            <w:tcW w:w="1411" w:type="dxa"/>
            <w:noWrap w:val="0"/>
            <w:vAlign w:val="top"/>
          </w:tcPr>
          <w:p>
            <w:pPr>
              <w:adjustRightInd w:val="0"/>
              <w:snapToGrid w:val="0"/>
              <w:rPr>
                <w:rFonts w:hint="eastAsia"/>
                <w:color w:val="auto"/>
                <w:sz w:val="21"/>
                <w:szCs w:val="21"/>
                <w:vertAlign w:val="baseline"/>
              </w:rPr>
            </w:pPr>
          </w:p>
        </w:tc>
        <w:tc>
          <w:tcPr>
            <w:tcW w:w="1250" w:type="dxa"/>
            <w:noWrap w:val="0"/>
            <w:vAlign w:val="top"/>
          </w:tcPr>
          <w:p>
            <w:pPr>
              <w:adjustRightInd w:val="0"/>
              <w:snapToGrid w:val="0"/>
              <w:rPr>
                <w:rFonts w:hint="eastAsia"/>
                <w:color w:val="auto"/>
                <w:sz w:val="21"/>
                <w:szCs w:val="21"/>
                <w:vertAlign w:val="baseline"/>
              </w:rPr>
            </w:pPr>
          </w:p>
        </w:tc>
        <w:tc>
          <w:tcPr>
            <w:tcW w:w="1178" w:type="dxa"/>
            <w:noWrap w:val="0"/>
            <w:vAlign w:val="top"/>
          </w:tcPr>
          <w:p>
            <w:pPr>
              <w:adjustRightInd w:val="0"/>
              <w:snapToGrid w:val="0"/>
              <w:rPr>
                <w:rFonts w:hint="eastAsia"/>
                <w:color w:val="auto"/>
                <w:sz w:val="21"/>
                <w:szCs w:val="21"/>
                <w:vertAlign w:val="baseline"/>
              </w:rPr>
            </w:pPr>
          </w:p>
        </w:tc>
        <w:tc>
          <w:tcPr>
            <w:tcW w:w="1817" w:type="dxa"/>
            <w:noWrap w:val="0"/>
            <w:vAlign w:val="top"/>
          </w:tcPr>
          <w:p>
            <w:pPr>
              <w:adjustRightInd w:val="0"/>
              <w:snapToGrid w:val="0"/>
              <w:rPr>
                <w:rFonts w:hint="eastAsia"/>
                <w:color w:val="auto"/>
                <w:sz w:val="21"/>
                <w:szCs w:val="21"/>
                <w:vertAlign w:val="baseline"/>
              </w:rPr>
            </w:pPr>
          </w:p>
        </w:tc>
        <w:tc>
          <w:tcPr>
            <w:tcW w:w="1249" w:type="dxa"/>
            <w:noWrap w:val="0"/>
            <w:vAlign w:val="top"/>
          </w:tcPr>
          <w:p>
            <w:pPr>
              <w:adjustRightInd w:val="0"/>
              <w:snapToGrid w:val="0"/>
              <w:rPr>
                <w:rFonts w:hint="eastAsia"/>
                <w:color w:val="auto"/>
                <w:sz w:val="21"/>
                <w:szCs w:val="21"/>
                <w:vertAlign w:val="baseline"/>
              </w:rPr>
            </w:pPr>
          </w:p>
        </w:tc>
        <w:tc>
          <w:tcPr>
            <w:tcW w:w="1820" w:type="dxa"/>
            <w:noWrap w:val="0"/>
            <w:vAlign w:val="top"/>
          </w:tcPr>
          <w:p>
            <w:pPr>
              <w:adjustRightInd w:val="0"/>
              <w:snapToGrid w:val="0"/>
              <w:rPr>
                <w:rFonts w:hint="eastAsia"/>
                <w:color w:val="auto"/>
                <w:sz w:val="21"/>
                <w:szCs w:val="21"/>
                <w:vertAlign w:val="baseline"/>
              </w:rPr>
            </w:pPr>
          </w:p>
        </w:tc>
        <w:tc>
          <w:tcPr>
            <w:tcW w:w="1087" w:type="dxa"/>
            <w:noWrap w:val="0"/>
            <w:vAlign w:val="top"/>
          </w:tcPr>
          <w:p>
            <w:pPr>
              <w:adjustRightInd w:val="0"/>
              <w:snapToGrid w:val="0"/>
              <w:rPr>
                <w:rFonts w:hint="eastAsia"/>
                <w:color w:val="auto"/>
                <w:sz w:val="21"/>
                <w:szCs w:val="21"/>
                <w:vertAlign w:val="baseline"/>
              </w:rPr>
            </w:pPr>
          </w:p>
        </w:tc>
      </w:tr>
    </w:tbl>
    <w:p>
      <w:pPr>
        <w:pStyle w:val="2"/>
        <w:ind w:left="0" w:leftChars="0" w:firstLine="0" w:firstLineChars="0"/>
        <w:rPr>
          <w:rFonts w:hint="eastAsia" w:ascii="仿宋_GB2312" w:hAnsi="仿宋_GB2312" w:eastAsia="仿宋_GB2312" w:cs="仿宋_GB2312"/>
          <w:color w:val="auto"/>
          <w:kern w:val="0"/>
          <w:sz w:val="32"/>
          <w:szCs w:val="32"/>
          <w:highlight w:val="none"/>
          <w:lang w:val="en-US" w:eastAsia="zh-CN"/>
        </w:rPr>
      </w:pPr>
    </w:p>
    <w:p>
      <w:pPr>
        <w:pStyle w:val="2"/>
        <w:ind w:left="0" w:leftChars="0" w:firstLine="0" w:firstLineChars="0"/>
        <w:rPr>
          <w:rFonts w:hint="eastAsia" w:ascii="仿宋_GB2312" w:hAnsi="仿宋_GB2312" w:eastAsia="仿宋_GB2312" w:cs="仿宋_GB2312"/>
          <w:color w:val="auto"/>
          <w:kern w:val="0"/>
          <w:sz w:val="32"/>
          <w:szCs w:val="32"/>
          <w:highlight w:val="none"/>
          <w:lang w:val="en-US" w:eastAsia="zh-CN"/>
        </w:rPr>
        <w:sectPr>
          <w:pgSz w:w="16838" w:h="11906" w:orient="landscape"/>
          <w:pgMar w:top="1531" w:right="1871" w:bottom="1531" w:left="1871" w:header="851" w:footer="1417" w:gutter="0"/>
          <w:pgNumType w:fmt="decimal"/>
          <w:cols w:space="72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val="0"/>
        <w:snapToGrid w:val="0"/>
        <w:spacing w:afterLines="0" w:line="590" w:lineRule="exact"/>
        <w:jc w:val="both"/>
        <w:textAlignment w:val="auto"/>
        <w:outlineLvl w:val="9"/>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eastAsia="zh-CN"/>
        </w:rPr>
        <w:t>附件</w:t>
      </w:r>
      <w:r>
        <w:rPr>
          <w:rFonts w:hint="eastAsia" w:ascii="黑体" w:hAnsi="黑体" w:eastAsia="黑体" w:cs="黑体"/>
          <w:snapToGrid w:val="0"/>
          <w:color w:val="auto"/>
          <w:w w:val="100"/>
          <w:kern w:val="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afterLines="0" w:line="590" w:lineRule="exact"/>
        <w:jc w:val="both"/>
        <w:textAlignment w:val="auto"/>
        <w:outlineLvl w:val="9"/>
        <w:rPr>
          <w:rFonts w:hint="eastAsia" w:ascii="Times New Roman" w:hAnsi="Times New Roman" w:eastAsia="华文中宋" w:cs="Times New Roman"/>
          <w:snapToGrid w:val="0"/>
          <w:color w:val="auto"/>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jc w:val="center"/>
        <w:textAlignment w:val="auto"/>
        <w:outlineLvl w:val="9"/>
        <w:rPr>
          <w:rFonts w:hint="eastAsia" w:ascii="方正小标宋简体" w:hAnsi="方正小标宋简体" w:eastAsia="方正小标宋简体" w:cs="方正小标宋简体"/>
          <w:b w:val="0"/>
          <w:bCs w:val="0"/>
          <w:snapToGrid w:val="0"/>
          <w:color w:val="auto"/>
          <w:kern w:val="0"/>
          <w:sz w:val="44"/>
          <w:szCs w:val="44"/>
          <w:lang w:val="en-US" w:eastAsia="zh-CN"/>
        </w:rPr>
      </w:pPr>
      <w:r>
        <w:rPr>
          <w:rFonts w:hint="eastAsia" w:ascii="方正小标宋简体" w:hAnsi="方正小标宋简体" w:eastAsia="方正小标宋简体" w:cs="方正小标宋简体"/>
          <w:b w:val="0"/>
          <w:bCs w:val="0"/>
          <w:snapToGrid w:val="0"/>
          <w:color w:val="auto"/>
          <w:kern w:val="0"/>
          <w:sz w:val="44"/>
          <w:szCs w:val="44"/>
          <w:highlight w:val="none"/>
          <w:lang w:val="en-US" w:eastAsia="zh-CN"/>
        </w:rPr>
        <w:t>×××</w:t>
      </w:r>
      <w:r>
        <w:rPr>
          <w:rFonts w:hint="eastAsia" w:ascii="方正小标宋简体" w:hAnsi="方正小标宋简体" w:eastAsia="方正小标宋简体" w:cs="方正小标宋简体"/>
          <w:b w:val="0"/>
          <w:bCs w:val="0"/>
          <w:snapToGrid w:val="0"/>
          <w:color w:val="auto"/>
          <w:kern w:val="0"/>
          <w:sz w:val="44"/>
          <w:szCs w:val="44"/>
          <w:lang w:val="en-US" w:eastAsia="zh-CN"/>
        </w:rPr>
        <w:t>项目所提供材料真实性承诺函</w:t>
      </w:r>
    </w:p>
    <w:p>
      <w:pPr>
        <w:adjustRightInd w:val="0"/>
        <w:snapToGrid w:val="0"/>
        <w:spacing w:afterLines="0" w:line="590" w:lineRule="exact"/>
        <w:jc w:val="both"/>
        <w:outlineLvl w:val="9"/>
        <w:rPr>
          <w:rFonts w:hint="eastAsia" w:ascii="Times New Roman" w:hAnsi="Times New Roman" w:eastAsia="华文中宋" w:cs="Times New Roman"/>
          <w:snapToGrid w:val="0"/>
          <w:color w:val="auto"/>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zh-CN"/>
        </w:rPr>
        <w:t>广东省农业农村厅:</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zh-CN"/>
        </w:rPr>
        <w:t>根据《</w:t>
      </w:r>
      <w:r>
        <w:rPr>
          <w:rFonts w:hint="eastAsia" w:ascii="仿宋_GB2312" w:hAnsi="仿宋_GB2312" w:eastAsia="仿宋_GB2312" w:cs="仿宋_GB2312"/>
          <w:snapToGrid w:val="0"/>
          <w:color w:val="auto"/>
          <w:kern w:val="0"/>
          <w:sz w:val="32"/>
          <w:szCs w:val="32"/>
          <w:lang w:val="en-US" w:eastAsia="zh-CN"/>
        </w:rPr>
        <w:t>关于印发〈2023年省级种业振兴行动专项资金项目入库申报指南〉的通知</w:t>
      </w:r>
      <w:r>
        <w:rPr>
          <w:rFonts w:hint="eastAsia" w:ascii="仿宋_GB2312" w:hAnsi="仿宋_GB2312" w:eastAsia="仿宋_GB2312" w:cs="仿宋_GB2312"/>
          <w:snapToGrid w:val="0"/>
          <w:color w:val="auto"/>
          <w:kern w:val="0"/>
          <w:sz w:val="32"/>
          <w:szCs w:val="32"/>
          <w:lang w:val="zh-CN"/>
        </w:rPr>
        <w:t>》，我单位拟申报“</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项目</w:t>
      </w:r>
      <w:r>
        <w:rPr>
          <w:rFonts w:hint="eastAsia" w:ascii="仿宋_GB2312" w:hAnsi="仿宋_GB2312" w:eastAsia="仿宋_GB2312" w:cs="仿宋_GB2312"/>
          <w:snapToGrid w:val="0"/>
          <w:color w:val="auto"/>
          <w:kern w:val="0"/>
          <w:sz w:val="32"/>
          <w:szCs w:val="32"/>
          <w:lang w:val="zh-CN"/>
        </w:rPr>
        <w:t>”，该项目</w:t>
      </w:r>
      <w:r>
        <w:rPr>
          <w:rFonts w:hint="eastAsia" w:ascii="仿宋_GB2312" w:hAnsi="仿宋_GB2312" w:eastAsia="仿宋_GB2312" w:cs="仿宋_GB2312"/>
          <w:snapToGrid w:val="0"/>
          <w:color w:val="auto"/>
          <w:kern w:val="0"/>
          <w:sz w:val="32"/>
          <w:szCs w:val="32"/>
          <w:lang w:val="en-US" w:eastAsia="zh-CN"/>
        </w:rPr>
        <w:t>不重复申请财政资金，研究成果不套用，所提供的佐证材料真实有效。</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zh-CN"/>
        </w:rPr>
        <w:t>特此承诺。</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Times New Roman" w:hAnsi="Times New Roman" w:eastAsia="仿宋_GB2312"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Times New Roman" w:hAnsi="Times New Roman" w:eastAsia="仿宋_GB2312"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5760" w:firstLineChars="180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申报单位</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5120" w:firstLineChars="16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lang w:val="en-US" w:eastAsia="zh-CN"/>
        </w:rPr>
        <w:t xml:space="preserve">   年  </w:t>
      </w:r>
      <w:r>
        <w:rPr>
          <w:rFonts w:hint="eastAsia" w:ascii="仿宋_GB2312" w:hAnsi="仿宋_GB2312" w:eastAsia="仿宋_GB2312" w:cs="仿宋_GB2312"/>
          <w:snapToGrid w:val="0"/>
          <w:color w:val="auto"/>
          <w:kern w:val="0"/>
          <w:sz w:val="32"/>
          <w:szCs w:val="32"/>
          <w:lang w:val="zh-CN"/>
        </w:rPr>
        <w:t>月</w:t>
      </w:r>
      <w:r>
        <w:rPr>
          <w:rFonts w:hint="eastAsia" w:ascii="Arial" w:hAnsi="Arial" w:eastAsia="汉仪细圆B5" w:cs="Arial"/>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lang w:val="zh-CN" w:eastAsia="zh-CN"/>
        </w:rPr>
        <w:t>日</w:t>
      </w:r>
    </w:p>
    <w:p>
      <w:pPr>
        <w:pStyle w:val="2"/>
        <w:adjustRightInd w:val="0"/>
        <w:snapToGrid w:val="0"/>
        <w:spacing w:after="0" w:line="590" w:lineRule="exact"/>
        <w:ind w:left="0" w:leftChars="0" w:firstLine="0" w:firstLineChars="0"/>
        <w:rPr>
          <w:rFonts w:hint="eastAsia" w:ascii="仿宋_GB2312" w:hAnsi="仿宋_GB2312" w:eastAsia="仿宋_GB2312" w:cs="仿宋_GB2312"/>
          <w:color w:val="auto"/>
          <w:kern w:val="0"/>
          <w:sz w:val="32"/>
          <w:szCs w:val="32"/>
          <w:highlight w:val="none"/>
          <w:lang w:val="en-US" w:eastAsia="zh-CN"/>
        </w:rPr>
      </w:pPr>
    </w:p>
    <w:p>
      <w:pPr>
        <w:pStyle w:val="2"/>
        <w:adjustRightInd w:val="0"/>
        <w:snapToGrid w:val="0"/>
        <w:spacing w:after="0" w:line="590" w:lineRule="exact"/>
        <w:ind w:left="0" w:leftChars="0" w:firstLine="0" w:firstLineChars="0"/>
        <w:rPr>
          <w:rFonts w:hint="eastAsia" w:ascii="仿宋_GB2312" w:hAnsi="仿宋_GB2312" w:eastAsia="仿宋_GB2312" w:cs="仿宋_GB2312"/>
          <w:color w:val="auto"/>
          <w:kern w:val="0"/>
          <w:sz w:val="32"/>
          <w:szCs w:val="32"/>
          <w:highlight w:val="none"/>
          <w:lang w:val="en-US" w:eastAsia="zh-CN"/>
        </w:rPr>
        <w:sectPr>
          <w:pgSz w:w="11906" w:h="16838"/>
          <w:pgMar w:top="1871" w:right="1531" w:bottom="1871" w:left="1531" w:header="850" w:footer="1417" w:gutter="0"/>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afterLines="0" w:line="590" w:lineRule="exact"/>
        <w:jc w:val="both"/>
        <w:textAlignment w:val="auto"/>
        <w:outlineLvl w:val="9"/>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eastAsia="zh-CN"/>
        </w:rPr>
        <w:t>附件</w:t>
      </w:r>
      <w:r>
        <w:rPr>
          <w:rFonts w:hint="eastAsia" w:ascii="黑体" w:hAnsi="黑体" w:eastAsia="黑体" w:cs="黑体"/>
          <w:snapToGrid w:val="0"/>
          <w:color w:val="auto"/>
          <w:w w:val="100"/>
          <w:kern w:val="0"/>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afterLines="0" w:line="590" w:lineRule="exact"/>
        <w:jc w:val="both"/>
        <w:textAlignment w:val="auto"/>
        <w:outlineLvl w:val="9"/>
        <w:rPr>
          <w:rFonts w:hint="eastAsia" w:ascii="Times New Roman" w:hAnsi="Times New Roman" w:eastAsia="华文中宋" w:cs="Times New Roman"/>
          <w:snapToGrid w:val="0"/>
          <w:color w:val="auto"/>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jc w:val="center"/>
        <w:textAlignment w:val="auto"/>
        <w:outlineLvl w:val="9"/>
        <w:rPr>
          <w:rFonts w:hint="eastAsia" w:ascii="方正小标宋简体" w:hAnsi="方正小标宋简体" w:eastAsia="方正小标宋简体" w:cs="方正小标宋简体"/>
          <w:b w:val="0"/>
          <w:bCs w:val="0"/>
          <w:snapToGrid w:val="0"/>
          <w:color w:val="auto"/>
          <w:kern w:val="0"/>
          <w:sz w:val="44"/>
          <w:szCs w:val="44"/>
          <w:lang w:val="en-US" w:eastAsia="zh-CN"/>
        </w:rPr>
      </w:pPr>
      <w:r>
        <w:rPr>
          <w:rFonts w:hint="eastAsia" w:ascii="方正小标宋简体" w:hAnsi="方正小标宋简体" w:eastAsia="方正小标宋简体" w:cs="方正小标宋简体"/>
          <w:b w:val="0"/>
          <w:bCs w:val="0"/>
          <w:snapToGrid w:val="0"/>
          <w:color w:val="auto"/>
          <w:kern w:val="0"/>
          <w:sz w:val="44"/>
          <w:szCs w:val="44"/>
          <w:lang w:val="en-US" w:eastAsia="zh-CN"/>
        </w:rPr>
        <w:t>×××项目配套资金承诺函</w:t>
      </w:r>
    </w:p>
    <w:p>
      <w:pPr>
        <w:adjustRightInd w:val="0"/>
        <w:snapToGrid w:val="0"/>
        <w:spacing w:afterLines="0" w:line="590" w:lineRule="exact"/>
        <w:jc w:val="both"/>
        <w:outlineLvl w:val="9"/>
        <w:rPr>
          <w:rFonts w:hint="eastAsia" w:ascii="Times New Roman" w:hAnsi="Times New Roman" w:eastAsia="华文中宋" w:cs="Times New Roman"/>
          <w:snapToGrid w:val="0"/>
          <w:color w:val="auto"/>
          <w:w w:val="1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zh-CN"/>
        </w:rPr>
        <w:t>广东省农业农村厅:</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zh-CN"/>
        </w:rPr>
        <w:t>根据《</w:t>
      </w:r>
      <w:r>
        <w:rPr>
          <w:rFonts w:hint="eastAsia" w:ascii="仿宋_GB2312" w:hAnsi="仿宋_GB2312" w:eastAsia="仿宋_GB2312" w:cs="仿宋_GB2312"/>
          <w:snapToGrid w:val="0"/>
          <w:color w:val="auto"/>
          <w:kern w:val="0"/>
          <w:sz w:val="32"/>
          <w:szCs w:val="32"/>
          <w:lang w:val="en-US" w:eastAsia="zh-CN"/>
        </w:rPr>
        <w:t>关于印发〈2023年省级种业振兴行动专项资金项目入库申报指南〉的通知</w:t>
      </w:r>
      <w:r>
        <w:rPr>
          <w:rFonts w:hint="eastAsia" w:ascii="仿宋_GB2312" w:hAnsi="仿宋_GB2312" w:eastAsia="仿宋_GB2312" w:cs="仿宋_GB2312"/>
          <w:snapToGrid w:val="0"/>
          <w:color w:val="auto"/>
          <w:kern w:val="0"/>
          <w:sz w:val="32"/>
          <w:szCs w:val="32"/>
          <w:lang w:val="zh-CN"/>
        </w:rPr>
        <w:t>》，我单位拟申报“</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项目</w:t>
      </w:r>
      <w:r>
        <w:rPr>
          <w:rFonts w:hint="eastAsia" w:ascii="仿宋_GB2312" w:hAnsi="仿宋_GB2312" w:eastAsia="仿宋_GB2312" w:cs="仿宋_GB2312"/>
          <w:snapToGrid w:val="0"/>
          <w:color w:val="auto"/>
          <w:kern w:val="0"/>
          <w:sz w:val="32"/>
          <w:szCs w:val="32"/>
          <w:lang w:val="zh-CN"/>
        </w:rPr>
        <w:t>”，总计投资</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万元，其中申请财政资金</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万元，单位（企业）自筹配套</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万元，项目不涉及地方财政，不会造成地方财政隐形债务。</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根据有关要求，我单位（企业）承诺：配套资金</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万元由本单位（企业）承担，并保证配套资金按项目实施计划按时到位。</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zh-CN"/>
        </w:rPr>
        <w:t>特此承诺。</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080" w:firstLineChars="190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申报单位</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5440" w:firstLineChars="1700"/>
        <w:textAlignment w:val="auto"/>
        <w:outlineLvl w:val="9"/>
        <w:rPr>
          <w:rFonts w:hint="eastAsia" w:ascii="仿宋_GB2312" w:hAnsi="仿宋_GB2312" w:eastAsia="仿宋_GB2312" w:cs="仿宋_GB2312"/>
          <w:snapToGrid w:val="0"/>
          <w:color w:val="auto"/>
          <w:kern w:val="0"/>
          <w:sz w:val="32"/>
          <w:szCs w:val="32"/>
          <w:lang w:val="zh-CN"/>
        </w:rPr>
      </w:pPr>
      <w:r>
        <w:rPr>
          <w:rFonts w:hint="eastAsia" w:ascii="仿宋_GB2312" w:hAnsi="仿宋_GB2312" w:eastAsia="仿宋_GB2312" w:cs="仿宋_GB2312"/>
          <w:snapToGrid w:val="0"/>
          <w:color w:val="auto"/>
          <w:kern w:val="0"/>
          <w:sz w:val="32"/>
          <w:szCs w:val="32"/>
          <w:lang w:val="en-US" w:eastAsia="zh-CN"/>
        </w:rPr>
        <w:t xml:space="preserve">    年  </w:t>
      </w:r>
      <w:r>
        <w:rPr>
          <w:rFonts w:hint="eastAsia" w:ascii="仿宋_GB2312" w:hAnsi="仿宋_GB2312" w:eastAsia="仿宋_GB2312" w:cs="仿宋_GB2312"/>
          <w:snapToGrid w:val="0"/>
          <w:color w:val="auto"/>
          <w:kern w:val="0"/>
          <w:sz w:val="32"/>
          <w:szCs w:val="32"/>
          <w:lang w:val="zh-CN"/>
        </w:rPr>
        <w:t>月</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lang w:val="zh-CN" w:eastAsia="zh-CN"/>
        </w:rPr>
        <w:t>日</w:t>
      </w:r>
    </w:p>
    <w:p>
      <w:pPr>
        <w:pStyle w:val="2"/>
        <w:adjustRightInd w:val="0"/>
        <w:snapToGrid w:val="0"/>
        <w:spacing w:after="0" w:line="590" w:lineRule="exact"/>
        <w:ind w:left="0" w:leftChars="0" w:firstLine="0" w:firstLineChars="0"/>
        <w:rPr>
          <w:rFonts w:hint="eastAsia"/>
          <w:kern w:val="0"/>
          <w:lang w:val="en-US" w:eastAsia="zh-CN"/>
        </w:rPr>
      </w:pPr>
    </w:p>
    <w:p>
      <w:pPr>
        <w:adjustRightInd w:val="0"/>
        <w:snapToGrid w:val="0"/>
        <w:spacing w:afterLines="0" w:line="590" w:lineRule="exact"/>
        <w:rPr>
          <w:rFonts w:hint="eastAsia" w:ascii="黑体" w:hAnsi="黑体" w:eastAsia="黑体" w:cs="黑体"/>
          <w:b w:val="0"/>
          <w:bCs w:val="0"/>
          <w:snapToGrid w:val="0"/>
          <w:color w:val="auto"/>
          <w:kern w:val="0"/>
          <w:sz w:val="32"/>
          <w:szCs w:val="32"/>
          <w:lang w:val="en-US" w:eastAsia="zh-CN"/>
        </w:rPr>
      </w:pPr>
    </w:p>
    <w:p>
      <w:pPr>
        <w:adjustRightInd w:val="0"/>
        <w:snapToGrid w:val="0"/>
        <w:spacing w:afterLines="0" w:line="590" w:lineRule="exact"/>
        <w:rPr>
          <w:rFonts w:hint="eastAsia" w:ascii="黑体" w:hAnsi="黑体" w:eastAsia="黑体" w:cs="黑体"/>
          <w:b w:val="0"/>
          <w:bCs w:val="0"/>
          <w:snapToGrid w:val="0"/>
          <w:color w:val="auto"/>
          <w:kern w:val="0"/>
          <w:sz w:val="32"/>
          <w:szCs w:val="32"/>
          <w:lang w:val="en-US" w:eastAsia="zh-CN"/>
        </w:rPr>
      </w:pPr>
    </w:p>
    <w:p>
      <w:pPr>
        <w:adjustRightInd w:val="0"/>
        <w:snapToGrid w:val="0"/>
        <w:spacing w:line="590" w:lineRule="exact"/>
        <w:rPr>
          <w:rFonts w:hint="eastAsia" w:ascii="黑体" w:hAnsi="黑体" w:eastAsia="黑体" w:cs="黑体"/>
          <w:b w:val="0"/>
          <w:bCs w:val="0"/>
          <w:snapToGrid w:val="0"/>
          <w:color w:val="auto"/>
          <w:kern w:val="0"/>
          <w:sz w:val="32"/>
          <w:szCs w:val="32"/>
          <w:lang w:val="en-US" w:eastAsia="zh-CN"/>
        </w:rPr>
      </w:pPr>
    </w:p>
    <w:p>
      <w:pPr>
        <w:pStyle w:val="2"/>
        <w:ind w:left="0" w:leftChars="0" w:firstLine="0" w:firstLineChars="0"/>
        <w:rPr>
          <w:rFonts w:hint="eastAsia"/>
          <w:lang w:val="en-US" w:eastAsia="zh-CN"/>
        </w:rPr>
      </w:pPr>
    </w:p>
    <w:p>
      <w:pPr>
        <w:adjustRightInd w:val="0"/>
        <w:snapToGrid w:val="0"/>
        <w:spacing w:line="590" w:lineRule="exact"/>
        <w:rPr>
          <w:rFonts w:hint="default" w:ascii="黑体" w:hAnsi="黑体" w:eastAsia="黑体" w:cs="黑体"/>
          <w:b w:val="0"/>
          <w:bCs w:val="0"/>
          <w:snapToGrid w:val="0"/>
          <w:color w:val="auto"/>
          <w:kern w:val="0"/>
          <w:sz w:val="32"/>
          <w:szCs w:val="32"/>
          <w:lang w:val="en-US" w:eastAsia="zh-CN"/>
        </w:rPr>
      </w:pPr>
      <w:r>
        <w:rPr>
          <w:rFonts w:hint="eastAsia" w:ascii="黑体" w:hAnsi="黑体" w:eastAsia="黑体" w:cs="黑体"/>
          <w:b w:val="0"/>
          <w:bCs w:val="0"/>
          <w:snapToGrid w:val="0"/>
          <w:color w:val="auto"/>
          <w:kern w:val="0"/>
          <w:sz w:val="32"/>
          <w:szCs w:val="32"/>
          <w:lang w:val="en-US" w:eastAsia="zh-CN"/>
        </w:rPr>
        <w:t>附件5</w:t>
      </w:r>
    </w:p>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方正小标宋简体" w:hAnsi="方正小标宋简体" w:eastAsia="方正小标宋简体" w:cs="方正小标宋简体"/>
          <w:b/>
          <w:bCs/>
          <w:snapToGrid w:val="0"/>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方正小标宋简体" w:hAnsi="方正小标宋简体" w:eastAsia="方正小标宋简体" w:cs="方正小标宋简体"/>
          <w:b/>
          <w:bCs/>
          <w:snapToGrid w:val="0"/>
          <w:color w:val="auto"/>
          <w:kern w:val="0"/>
          <w:sz w:val="44"/>
          <w:szCs w:val="44"/>
          <w:lang w:val="en-US" w:eastAsia="zh-CN"/>
        </w:rPr>
      </w:pPr>
    </w:p>
    <w:p>
      <w:pPr>
        <w:bidi w:val="0"/>
        <w:adjustRightInd w:val="0"/>
        <w:snapToGrid w:val="0"/>
        <w:spacing w:line="700" w:lineRule="exact"/>
        <w:jc w:val="center"/>
        <w:outlineLvl w:val="9"/>
        <w:rPr>
          <w:rFonts w:hint="eastAsia" w:ascii="方正小标宋简体" w:hAnsi="方正小标宋简体" w:eastAsia="方正小标宋简体" w:cs="方正小标宋简体"/>
          <w:snapToGrid w:val="0"/>
          <w:spacing w:val="0"/>
          <w:kern w:val="0"/>
          <w:sz w:val="48"/>
          <w:szCs w:val="48"/>
          <w:lang w:val="en-US" w:eastAsia="zh-CN"/>
        </w:rPr>
      </w:pPr>
      <w:r>
        <w:rPr>
          <w:rFonts w:hint="eastAsia" w:ascii="方正小标宋简体" w:hAnsi="方正小标宋简体" w:eastAsia="方正小标宋简体" w:cs="方正小标宋简体"/>
          <w:snapToGrid w:val="0"/>
          <w:spacing w:val="0"/>
          <w:kern w:val="0"/>
          <w:sz w:val="48"/>
          <w:szCs w:val="48"/>
          <w:lang w:val="en-US" w:eastAsia="zh-CN"/>
        </w:rPr>
        <w:t>广东省农业农村厅种业振兴行动</w:t>
      </w:r>
    </w:p>
    <w:p>
      <w:pPr>
        <w:bidi w:val="0"/>
        <w:adjustRightInd w:val="0"/>
        <w:snapToGrid w:val="0"/>
        <w:spacing w:line="700" w:lineRule="exact"/>
        <w:jc w:val="center"/>
        <w:outlineLvl w:val="9"/>
        <w:rPr>
          <w:rFonts w:hint="eastAsia" w:ascii="方正小标宋简体" w:hAnsi="方正小标宋简体" w:eastAsia="方正小标宋简体" w:cs="方正小标宋简体"/>
          <w:snapToGrid w:val="0"/>
          <w:spacing w:val="0"/>
          <w:kern w:val="0"/>
          <w:sz w:val="48"/>
          <w:szCs w:val="48"/>
          <w:lang w:val="en-US" w:eastAsia="zh-CN"/>
        </w:rPr>
      </w:pPr>
      <w:r>
        <w:rPr>
          <w:rFonts w:hint="eastAsia" w:ascii="方正小标宋简体" w:hAnsi="方正小标宋简体" w:eastAsia="方正小标宋简体" w:cs="方正小标宋简体"/>
          <w:snapToGrid w:val="0"/>
          <w:spacing w:val="0"/>
          <w:kern w:val="0"/>
          <w:sz w:val="48"/>
          <w:szCs w:val="48"/>
          <w:lang w:val="en-US" w:eastAsia="zh-CN"/>
        </w:rPr>
        <w:t>（专项）申报书模板</w:t>
      </w:r>
    </w:p>
    <w:p>
      <w:pPr>
        <w:keepNext w:val="0"/>
        <w:keepLines w:val="0"/>
        <w:pageBreakBefore w:val="0"/>
        <w:kinsoku/>
        <w:wordWrap/>
        <w:topLinePunct w:val="0"/>
        <w:bidi w:val="0"/>
        <w:adjustRightInd w:val="0"/>
        <w:snapToGrid w:val="0"/>
        <w:spacing w:line="700" w:lineRule="exact"/>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adjustRightInd w:val="0"/>
        <w:snapToGrid w:val="0"/>
        <w:spacing w:line="590" w:lineRule="exact"/>
        <w:outlineLvl w:val="9"/>
        <w:rPr>
          <w:snapToGrid w:val="0"/>
          <w:kern w:val="0"/>
        </w:rPr>
      </w:pPr>
    </w:p>
    <w:tbl>
      <w:tblPr>
        <w:tblStyle w:val="8"/>
        <w:tblW w:w="8472" w:type="dxa"/>
        <w:jc w:val="center"/>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项</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目</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名</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称：</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jc w:val="both"/>
              <w:rPr>
                <w:rFonts w:hint="eastAsia" w:ascii="仿宋_GB2312" w:hAnsi="仿宋_GB2312" w:eastAsia="仿宋_GB2312" w:cs="仿宋_GB2312"/>
                <w:snapToGrid w:val="0"/>
                <w:color w:val="auto"/>
                <w:kern w:val="0"/>
                <w:sz w:val="32"/>
                <w:szCs w:val="32"/>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申 报 单 位：</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rPr>
                <w:rFonts w:hint="eastAsia" w:ascii="仿宋_GB2312" w:hAnsi="仿宋_GB2312" w:eastAsia="仿宋_GB2312" w:cs="仿宋_GB2312"/>
                <w:snapToGrid w:val="0"/>
                <w:color w:val="auto"/>
                <w:kern w:val="0"/>
                <w:sz w:val="32"/>
                <w:szCs w:val="32"/>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项目</w:t>
            </w:r>
            <w:r>
              <w:rPr>
                <w:rFonts w:hint="eastAsia" w:ascii="仿宋_GB2312" w:hAnsi="仿宋_GB2312" w:eastAsia="仿宋_GB2312" w:cs="仿宋_GB2312"/>
                <w:snapToGrid w:val="0"/>
                <w:color w:val="auto"/>
                <w:kern w:val="0"/>
                <w:sz w:val="32"/>
                <w:szCs w:val="32"/>
              </w:rPr>
              <w:t>负责人：</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rPr>
                <w:rFonts w:hint="eastAsia" w:ascii="仿宋_GB2312" w:hAnsi="仿宋_GB2312" w:eastAsia="仿宋_GB2312" w:cs="仿宋_GB2312"/>
                <w:snapToGrid w:val="0"/>
                <w:color w:val="auto"/>
                <w:kern w:val="0"/>
                <w:sz w:val="32"/>
                <w:szCs w:val="32"/>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主 管 单 位</w:t>
            </w:r>
            <w:r>
              <w:rPr>
                <w:rFonts w:hint="eastAsia" w:ascii="仿宋_GB2312" w:hAnsi="仿宋_GB2312" w:eastAsia="仿宋_GB2312" w:cs="仿宋_GB2312"/>
                <w:snapToGrid w:val="0"/>
                <w:color w:val="auto"/>
                <w:kern w:val="0"/>
                <w:sz w:val="32"/>
                <w:szCs w:val="32"/>
              </w:rPr>
              <w:t>：</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firstLineChars="0"/>
              <w:rPr>
                <w:rFonts w:hint="eastAsia" w:ascii="仿宋_GB2312" w:hAnsi="仿宋_GB2312" w:eastAsia="仿宋_GB2312" w:cs="仿宋_GB2312"/>
                <w:snapToGrid w:val="0"/>
                <w:color w:val="auto"/>
                <w:kern w:val="0"/>
                <w:sz w:val="32"/>
                <w:szCs w:val="32"/>
                <w:u w:val="single"/>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kinsoku/>
              <w:wordWrap/>
              <w:topLinePunct w:val="0"/>
              <w:bidi w:val="0"/>
              <w:adjustRightInd w:val="0"/>
              <w:snapToGrid w:val="0"/>
              <w:spacing w:line="590" w:lineRule="exact"/>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申 报 日 期：</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590" w:lineRule="exact"/>
              <w:ind w:firstLine="536" w:firstLineChars="0"/>
              <w:rPr>
                <w:rFonts w:hint="eastAsia" w:ascii="仿宋_GB2312" w:hAnsi="仿宋_GB2312" w:eastAsia="仿宋_GB2312" w:cs="仿宋_GB2312"/>
                <w:snapToGrid w:val="0"/>
                <w:color w:val="auto"/>
                <w:kern w:val="0"/>
                <w:sz w:val="32"/>
                <w:szCs w:val="32"/>
                <w:u w:val="single"/>
              </w:rPr>
            </w:pPr>
          </w:p>
        </w:tc>
      </w:tr>
    </w:tbl>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536"/>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outlineLvl w:val="9"/>
        <w:rPr>
          <w:rFonts w:ascii="宋体" w:hAnsi="宋体"/>
          <w:snapToGrid w:val="0"/>
          <w:color w:val="auto"/>
          <w:kern w:val="0"/>
          <w:sz w:val="28"/>
          <w:szCs w:val="28"/>
        </w:rPr>
      </w:pPr>
    </w:p>
    <w:p>
      <w:pPr>
        <w:keepNext w:val="0"/>
        <w:keepLines w:val="0"/>
        <w:pageBreakBefore w:val="0"/>
        <w:kinsoku/>
        <w:wordWrap/>
        <w:topLinePunct w:val="0"/>
        <w:bidi w:val="0"/>
        <w:adjustRightInd w:val="0"/>
        <w:snapToGrid w:val="0"/>
        <w:spacing w:line="590" w:lineRule="exact"/>
        <w:ind w:firstLine="0" w:firstLineChars="0"/>
        <w:jc w:val="center"/>
        <w:rPr>
          <w:rFonts w:hint="eastAsia" w:ascii="楷体_GB2312" w:hAnsi="楷体_GB2312" w:eastAsia="楷体_GB2312" w:cs="楷体_GB2312"/>
          <w:b w:val="0"/>
          <w:bCs/>
          <w:snapToGrid w:val="0"/>
          <w:color w:val="auto"/>
          <w:kern w:val="0"/>
          <w:sz w:val="32"/>
          <w:szCs w:val="32"/>
        </w:rPr>
      </w:pPr>
      <w:r>
        <w:rPr>
          <w:rFonts w:hint="eastAsia" w:ascii="楷体_GB2312" w:hAnsi="楷体_GB2312" w:eastAsia="楷体_GB2312" w:cs="楷体_GB2312"/>
          <w:b w:val="0"/>
          <w:bCs/>
          <w:snapToGrid w:val="0"/>
          <w:color w:val="auto"/>
          <w:kern w:val="0"/>
          <w:sz w:val="32"/>
          <w:szCs w:val="32"/>
        </w:rPr>
        <w:t>广东省农业农村厅制</w:t>
      </w:r>
    </w:p>
    <w:p>
      <w:pPr>
        <w:keepNext w:val="0"/>
        <w:keepLines w:val="0"/>
        <w:pageBreakBefore w:val="0"/>
        <w:kinsoku/>
        <w:wordWrap/>
        <w:topLinePunct w:val="0"/>
        <w:bidi w:val="0"/>
        <w:adjustRightInd w:val="0"/>
        <w:snapToGrid w:val="0"/>
        <w:spacing w:line="590" w:lineRule="exact"/>
        <w:jc w:val="center"/>
        <w:rPr>
          <w:rFonts w:hint="eastAsia" w:ascii="楷体_GB2312" w:hAnsi="楷体_GB2312" w:eastAsia="楷体_GB2312" w:cs="楷体_GB2312"/>
          <w:b w:val="0"/>
          <w:bCs/>
          <w:snapToGrid w:val="0"/>
          <w:color w:val="auto"/>
          <w:kern w:val="0"/>
          <w:sz w:val="32"/>
          <w:szCs w:val="32"/>
        </w:rPr>
      </w:pPr>
      <w:r>
        <w:rPr>
          <w:rFonts w:hint="eastAsia" w:ascii="楷体_GB2312" w:hAnsi="楷体_GB2312" w:eastAsia="楷体_GB2312" w:cs="楷体_GB2312"/>
          <w:b w:val="0"/>
          <w:bCs/>
          <w:snapToGrid w:val="0"/>
          <w:color w:val="auto"/>
          <w:kern w:val="0"/>
          <w:sz w:val="32"/>
          <w:szCs w:val="32"/>
        </w:rPr>
        <w:t>二Ο二   年   月</w:t>
      </w:r>
    </w:p>
    <w:p>
      <w:pPr>
        <w:keepNext w:val="0"/>
        <w:keepLines w:val="0"/>
        <w:pageBreakBefore w:val="0"/>
        <w:kinsoku/>
        <w:wordWrap/>
        <w:topLinePunct w:val="0"/>
        <w:bidi w:val="0"/>
        <w:adjustRightInd w:val="0"/>
        <w:snapToGrid w:val="0"/>
        <w:spacing w:line="590" w:lineRule="exact"/>
        <w:jc w:val="center"/>
        <w:rPr>
          <w:rFonts w:hint="eastAsia" w:ascii="楷体_GB2312" w:hAnsi="楷体_GB2312" w:eastAsia="楷体_GB2312" w:cs="楷体_GB2312"/>
          <w:b w:val="0"/>
          <w:bCs/>
          <w:snapToGrid w:val="0"/>
          <w:color w:val="auto"/>
          <w:kern w:val="0"/>
          <w:sz w:val="32"/>
          <w:szCs w:val="32"/>
        </w:rPr>
        <w:sectPr>
          <w:footerReference r:id="rId3" w:type="default"/>
          <w:pgSz w:w="11906" w:h="16838"/>
          <w:pgMar w:top="1871" w:right="1531" w:bottom="1871" w:left="1531" w:header="850" w:footer="1417" w:gutter="0"/>
          <w:pgBorders>
            <w:top w:val="none" w:sz="0" w:space="0"/>
            <w:left w:val="none" w:sz="0" w:space="0"/>
            <w:bottom w:val="none" w:sz="0" w:space="0"/>
            <w:right w:val="none" w:sz="0" w:space="0"/>
          </w:pgBorders>
          <w:pgNumType w:fmt="decimal" w:start="27"/>
          <w:cols w:space="720" w:num="1"/>
          <w:rtlGutter w:val="0"/>
          <w:docGrid w:type="lines" w:linePitch="595" w:charSpace="0"/>
        </w:sectPr>
      </w:pPr>
    </w:p>
    <w:p>
      <w:pPr>
        <w:keepNext w:val="0"/>
        <w:keepLines w:val="0"/>
        <w:pageBreakBefore w:val="0"/>
        <w:kinsoku/>
        <w:wordWrap/>
        <w:topLinePunct w:val="0"/>
        <w:bidi w:val="0"/>
        <w:adjustRightInd w:val="0"/>
        <w:snapToGrid w:val="0"/>
        <w:spacing w:line="500" w:lineRule="exact"/>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诚信承诺书</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本人根据</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立项指南的要求，自愿提交立项申请书，在此郑重承诺：所申报材料和相关内容真实有效，不存在以下违背科研诚信要求的行为。</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（一）抄袭、剽窃、侵占他人成果；</w:t>
      </w:r>
    </w:p>
    <w:p>
      <w:pPr>
        <w:keepNext w:val="0"/>
        <w:keepLines w:val="0"/>
        <w:pageBreakBefore w:val="0"/>
        <w:kinsoku/>
        <w:wordWrap/>
        <w:topLinePunct w:val="0"/>
        <w:bidi w:val="0"/>
        <w:adjustRightInd w:val="0"/>
        <w:snapToGrid w:val="0"/>
        <w:spacing w:line="500" w:lineRule="exact"/>
        <w:ind w:firstLine="604" w:firstLineChars="18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（二）编制工作过程，伪造、篡改数据、图表、结论；</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（三）购买、代写论文或课题申请书，虚构同行评议专家及评议意见；</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（四）以故意提供虚假信息等弄虚作假的方式或采取贿赂、利益交换等不正当手段获取科研项目（课题）、科研资金、奖励、荣誉、职务职称等；</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spacing w:val="-9"/>
          <w:kern w:val="0"/>
          <w:sz w:val="32"/>
          <w:szCs w:val="32"/>
        </w:rPr>
      </w:pP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spacing w:val="-9"/>
          <w:kern w:val="0"/>
          <w:sz w:val="32"/>
          <w:szCs w:val="32"/>
        </w:rPr>
        <w:t>违反涉及人类生命健康、实验动物保护等科研伦理规范；</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（六）违反研究成果署名、论文发表规范；</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w:t>
      </w:r>
      <w:r>
        <w:rPr>
          <w:rFonts w:hint="eastAsia" w:ascii="仿宋_GB2312" w:hAnsi="仿宋_GB2312" w:eastAsia="仿宋_GB2312" w:cs="仿宋_GB2312"/>
          <w:color w:val="auto"/>
          <w:kern w:val="0"/>
          <w:sz w:val="32"/>
          <w:szCs w:val="32"/>
          <w:lang w:eastAsia="zh-CN"/>
        </w:rPr>
        <w:t>本课题的</w:t>
      </w:r>
      <w:r>
        <w:rPr>
          <w:rFonts w:hint="eastAsia" w:ascii="仿宋_GB2312" w:hAnsi="仿宋_GB2312" w:eastAsia="仿宋_GB2312" w:cs="仿宋_GB2312"/>
          <w:snapToGrid/>
          <w:color w:val="auto"/>
          <w:kern w:val="0"/>
          <w:sz w:val="32"/>
          <w:szCs w:val="32"/>
          <w:lang w:eastAsia="zh-CN"/>
        </w:rPr>
        <w:t>科研成果具有专用性、知识产权的专属性，不存在“一稿多投”、“以旧顶新”，以及借用项目单位原有研究成果套取、骗取科研项目资金的行为。</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（八）</w:t>
      </w:r>
      <w:r>
        <w:rPr>
          <w:rFonts w:hint="eastAsia" w:ascii="仿宋_GB2312" w:hAnsi="仿宋_GB2312" w:eastAsia="仿宋_GB2312" w:cs="仿宋_GB2312"/>
          <w:color w:val="auto"/>
          <w:kern w:val="0"/>
          <w:sz w:val="32"/>
          <w:szCs w:val="32"/>
        </w:rPr>
        <w:t>其他失信行为。</w:t>
      </w:r>
    </w:p>
    <w:p>
      <w:pPr>
        <w:keepNext w:val="0"/>
        <w:keepLines w:val="0"/>
        <w:pageBreakBefore w:val="0"/>
        <w:kinsoku/>
        <w:wordWrap/>
        <w:topLinePunct w:val="0"/>
        <w:bidi w:val="0"/>
        <w:adjustRightInd w:val="0"/>
        <w:snapToGrid w:val="0"/>
        <w:spacing w:line="500" w:lineRule="exact"/>
        <w:ind w:firstLine="608" w:firstLineChars="19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如有违反，本人/本单位愿接受</w:t>
      </w:r>
      <w:r>
        <w:rPr>
          <w:rFonts w:hint="eastAsia" w:ascii="仿宋_GB2312" w:hAnsi="仿宋_GB2312" w:eastAsia="仿宋_GB2312" w:cs="仿宋_GB2312"/>
          <w:color w:val="auto"/>
          <w:kern w:val="0"/>
          <w:sz w:val="32"/>
          <w:szCs w:val="32"/>
          <w:lang w:eastAsia="zh-Hans"/>
        </w:rPr>
        <w:t>广东省农业农村厅</w:t>
      </w:r>
      <w:r>
        <w:rPr>
          <w:rFonts w:hint="eastAsia" w:ascii="仿宋_GB2312" w:hAnsi="仿宋_GB2312" w:eastAsia="仿宋_GB2312" w:cs="仿宋_GB2312"/>
          <w:color w:val="auto"/>
          <w:kern w:val="0"/>
          <w:sz w:val="32"/>
          <w:szCs w:val="32"/>
        </w:rPr>
        <w:t>做出的各项处理决定，包括但不限于停拨或核减资金，追回</w:t>
      </w:r>
      <w:r>
        <w:rPr>
          <w:rFonts w:hint="eastAsia" w:ascii="仿宋_GB2312" w:hAnsi="仿宋_GB2312" w:eastAsia="仿宋_GB2312" w:cs="仿宋_GB2312"/>
          <w:color w:val="auto"/>
          <w:kern w:val="0"/>
          <w:sz w:val="32"/>
          <w:szCs w:val="32"/>
          <w:lang w:eastAsia="zh-Hans"/>
        </w:rPr>
        <w:t>项目（课题）</w:t>
      </w:r>
      <w:r>
        <w:rPr>
          <w:rFonts w:hint="eastAsia" w:ascii="仿宋_GB2312" w:hAnsi="仿宋_GB2312" w:eastAsia="仿宋_GB2312" w:cs="仿宋_GB2312"/>
          <w:color w:val="auto"/>
          <w:kern w:val="0"/>
          <w:sz w:val="32"/>
          <w:szCs w:val="32"/>
        </w:rPr>
        <w:t>资金，取消一定期限</w:t>
      </w:r>
      <w:r>
        <w:rPr>
          <w:rFonts w:hint="eastAsia" w:ascii="仿宋_GB2312" w:hAnsi="仿宋_GB2312" w:eastAsia="仿宋_GB2312" w:cs="仿宋_GB2312"/>
          <w:color w:val="auto"/>
          <w:kern w:val="0"/>
          <w:sz w:val="32"/>
          <w:szCs w:val="32"/>
          <w:lang w:eastAsia="zh-Hans"/>
        </w:rPr>
        <w:t>广东省农业农村厅</w:t>
      </w:r>
      <w:r>
        <w:rPr>
          <w:rFonts w:hint="eastAsia" w:ascii="仿宋_GB2312" w:hAnsi="仿宋_GB2312" w:eastAsia="仿宋_GB2312" w:cs="仿宋_GB2312"/>
          <w:color w:val="auto"/>
          <w:kern w:val="0"/>
          <w:sz w:val="32"/>
          <w:szCs w:val="32"/>
        </w:rPr>
        <w:t>项目申报资格，记入</w:t>
      </w:r>
      <w:r>
        <w:rPr>
          <w:rFonts w:hint="eastAsia" w:ascii="仿宋_GB2312" w:hAnsi="仿宋_GB2312" w:eastAsia="仿宋_GB2312" w:cs="仿宋_GB2312"/>
          <w:color w:val="auto"/>
          <w:kern w:val="0"/>
          <w:sz w:val="32"/>
          <w:szCs w:val="32"/>
          <w:lang w:eastAsia="zh-Hans"/>
        </w:rPr>
        <w:t>广东省农业农村厅</w:t>
      </w:r>
      <w:r>
        <w:rPr>
          <w:rFonts w:hint="eastAsia" w:ascii="仿宋_GB2312" w:hAnsi="仿宋_GB2312" w:eastAsia="仿宋_GB2312" w:cs="仿宋_GB2312"/>
          <w:color w:val="auto"/>
          <w:kern w:val="0"/>
          <w:sz w:val="32"/>
          <w:szCs w:val="32"/>
        </w:rPr>
        <w:t>诚信异常名录等。</w:t>
      </w:r>
    </w:p>
    <w:p>
      <w:pPr>
        <w:adjustRightInd w:val="0"/>
        <w:snapToGrid w:val="0"/>
        <w:spacing w:line="500" w:lineRule="exact"/>
        <w:outlineLvl w:val="9"/>
        <w:rPr>
          <w:rFonts w:hint="eastAsia" w:ascii="仿宋_GB2312" w:hAnsi="仿宋_GB2312" w:eastAsia="仿宋_GB2312" w:cs="仿宋_GB2312"/>
          <w:color w:val="auto"/>
          <w:kern w:val="0"/>
          <w:sz w:val="32"/>
          <w:szCs w:val="32"/>
        </w:rPr>
      </w:pPr>
    </w:p>
    <w:p>
      <w:pPr>
        <w:keepNext w:val="0"/>
        <w:keepLines w:val="0"/>
        <w:pageBreakBefore w:val="0"/>
        <w:kinsoku/>
        <w:wordWrap/>
        <w:topLinePunct w:val="0"/>
        <w:bidi w:val="0"/>
        <w:adjustRightInd w:val="0"/>
        <w:snapToGrid w:val="0"/>
        <w:spacing w:line="50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申报单位法定代表人或授权代表人（签名）：</w:t>
      </w:r>
    </w:p>
    <w:p>
      <w:pPr>
        <w:keepNext w:val="0"/>
        <w:keepLines w:val="0"/>
        <w:pageBreakBefore w:val="0"/>
        <w:kinsoku/>
        <w:wordWrap/>
        <w:topLinePunct w:val="0"/>
        <w:bidi w:val="0"/>
        <w:adjustRightInd w:val="0"/>
        <w:snapToGrid w:val="0"/>
        <w:spacing w:line="50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负责人（签名）：</w:t>
      </w:r>
    </w:p>
    <w:p>
      <w:pPr>
        <w:keepNext w:val="0"/>
        <w:keepLines w:val="0"/>
        <w:pageBreakBefore w:val="0"/>
        <w:kinsoku/>
        <w:wordWrap/>
        <w:topLinePunct w:val="0"/>
        <w:bidi w:val="0"/>
        <w:adjustRightInd w:val="0"/>
        <w:snapToGrid w:val="0"/>
        <w:spacing w:line="500" w:lineRule="exact"/>
        <w:ind w:firstLine="2880" w:firstLineChars="9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年  月  日</w:t>
      </w:r>
    </w:p>
    <w:p>
      <w:pPr>
        <w:keepNext w:val="0"/>
        <w:keepLines w:val="0"/>
        <w:pageBreakBefore w:val="0"/>
        <w:kinsoku/>
        <w:wordWrap/>
        <w:topLinePunct w:val="0"/>
        <w:bidi w:val="0"/>
        <w:adjustRightInd w:val="0"/>
        <w:snapToGrid w:val="0"/>
        <w:spacing w:line="590" w:lineRule="exact"/>
        <w:jc w:val="center"/>
        <w:rPr>
          <w:rFonts w:hint="eastAsia" w:ascii="方正小标宋简体" w:hAnsi="方正小标宋简体" w:eastAsia="方正小标宋简体" w:cs="方正小标宋简体"/>
          <w:snapToGrid w:val="0"/>
          <w:color w:val="auto"/>
          <w:kern w:val="0"/>
          <w:sz w:val="44"/>
          <w:szCs w:val="44"/>
        </w:rPr>
      </w:pPr>
      <w:r>
        <w:rPr>
          <w:rFonts w:hint="eastAsia" w:ascii="仿宋_GB2312" w:hAnsi="仿宋_GB2312" w:eastAsia="仿宋_GB2312" w:cs="仿宋_GB2312"/>
          <w:color w:val="auto"/>
          <w:kern w:val="0"/>
          <w:sz w:val="32"/>
          <w:szCs w:val="32"/>
        </w:rPr>
        <w:br w:type="page"/>
      </w:r>
      <w:r>
        <w:rPr>
          <w:rFonts w:hint="eastAsia" w:ascii="方正小标宋简体" w:hAnsi="方正小标宋简体" w:eastAsia="方正小标宋简体" w:cs="方正小标宋简体"/>
          <w:snapToGrid w:val="0"/>
          <w:color w:val="auto"/>
          <w:kern w:val="0"/>
          <w:sz w:val="44"/>
          <w:szCs w:val="44"/>
        </w:rPr>
        <w:t>知识产权合规性声明</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本人根据</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（一）提供虚假知识产权申请材料；</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kern w:val="0"/>
          <w:sz w:val="32"/>
          <w:szCs w:val="32"/>
        </w:rPr>
        <w:t>（二）拒</w:t>
      </w:r>
      <w:r>
        <w:rPr>
          <w:rFonts w:hint="eastAsia" w:ascii="仿宋_GB2312" w:hAnsi="仿宋_GB2312" w:eastAsia="仿宋_GB2312" w:cs="仿宋_GB2312"/>
          <w:snapToGrid w:val="0"/>
          <w:color w:val="auto"/>
          <w:spacing w:val="0"/>
          <w:kern w:val="0"/>
          <w:sz w:val="32"/>
          <w:szCs w:val="32"/>
        </w:rPr>
        <w:t>不执行生效的知识产权行政处理决定或者司法裁判；</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（三）侵犯他人知识产权构成犯罪；</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（四）有其他侵犯他人知识产权的行为造成重大社会影响。</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（五）项目拟研究的成果与本单位已有或即将产生的项目成果重合，产生知识产权冲突。</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如有违反，本人/本单位愿接受</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做出的各项处理决定，包括但不限于停拨或核减资金，追回</w:t>
      </w:r>
      <w:r>
        <w:rPr>
          <w:rFonts w:hint="eastAsia" w:ascii="仿宋_GB2312" w:hAnsi="仿宋_GB2312" w:eastAsia="仿宋_GB2312" w:cs="仿宋_GB2312"/>
          <w:snapToGrid w:val="0"/>
          <w:color w:val="auto"/>
          <w:kern w:val="0"/>
          <w:sz w:val="32"/>
          <w:szCs w:val="32"/>
          <w:lang w:eastAsia="zh-Hans"/>
        </w:rPr>
        <w:t>项目（课题）</w:t>
      </w:r>
      <w:r>
        <w:rPr>
          <w:rFonts w:hint="eastAsia" w:ascii="仿宋_GB2312" w:hAnsi="仿宋_GB2312" w:eastAsia="仿宋_GB2312" w:cs="仿宋_GB2312"/>
          <w:snapToGrid w:val="0"/>
          <w:color w:val="auto"/>
          <w:kern w:val="0"/>
          <w:sz w:val="32"/>
          <w:szCs w:val="32"/>
        </w:rPr>
        <w:t>资金，取消一定期限</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项目申报资格，记入</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诚信异常名录等。</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p>
    <w:p>
      <w:pPr>
        <w:adjustRightInd w:val="0"/>
        <w:snapToGrid w:val="0"/>
        <w:spacing w:line="568" w:lineRule="exact"/>
        <w:outlineLvl w:val="9"/>
        <w:rPr>
          <w:rFonts w:hint="eastAsia" w:ascii="仿宋_GB2312" w:hAnsi="仿宋_GB2312" w:eastAsia="仿宋_GB2312" w:cs="仿宋_GB2312"/>
          <w:snapToGrid w:val="0"/>
          <w:color w:val="auto"/>
          <w:kern w:val="0"/>
          <w:sz w:val="32"/>
          <w:szCs w:val="32"/>
        </w:rPr>
      </w:pP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申报单位法定代表人或授权代表人（签名）：</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负责人（签名）：</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年  月  日</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bCs/>
          <w:snapToGrid w:val="0"/>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kinsoku/>
        <w:wordWrap/>
        <w:topLinePunct w:val="0"/>
        <w:bidi w:val="0"/>
        <w:adjustRightInd w:val="0"/>
        <w:snapToGrid w:val="0"/>
        <w:spacing w:line="568"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一、项目（课题）单位概况</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（一）包含单位性质、隶属关系、相关职能业务范围。</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二）人员状况，包括项目（课题）的负责人及骨干人员情况和职责，从事过的相关研究和承担的同类科研任务、发明专利及获奖其概况，在国内外主要刊物上发表的与本项目（课题）相关的成果情况，人员情况应增加列表说明。</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（三）单位财务收支和资产负债简况</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（申请单位为企业必须填写，申请单位为高校、科研院所等事业单位无需填写此项）。</w:t>
      </w:r>
    </w:p>
    <w:p>
      <w:pPr>
        <w:keepNext w:val="0"/>
        <w:keepLines w:val="0"/>
        <w:pageBreakBefore w:val="0"/>
        <w:kinsoku/>
        <w:wordWrap/>
        <w:topLinePunct w:val="0"/>
        <w:bidi w:val="0"/>
        <w:adjustRightInd w:val="0"/>
        <w:snapToGrid w:val="0"/>
        <w:spacing w:line="568" w:lineRule="exact"/>
        <w:ind w:firstLine="640" w:firstLineChars="200"/>
        <w:rPr>
          <w:rFonts w:hint="eastAsia" w:ascii="仿宋_GB2312" w:hAnsi="仿宋_GB2312" w:eastAsia="仿宋_GB2312" w:cs="仿宋_GB2312"/>
          <w:i w:val="0"/>
          <w:iCs w:val="0"/>
          <w:color w:val="auto"/>
          <w:kern w:val="0"/>
          <w:sz w:val="32"/>
          <w:szCs w:val="32"/>
        </w:rPr>
      </w:pPr>
      <w:r>
        <w:rPr>
          <w:rFonts w:hint="eastAsia" w:ascii="仿宋_GB2312" w:hAnsi="仿宋_GB2312" w:eastAsia="仿宋_GB2312" w:cs="仿宋_GB2312"/>
          <w:i w:val="0"/>
          <w:iCs w:val="0"/>
          <w:color w:val="auto"/>
          <w:kern w:val="0"/>
          <w:sz w:val="32"/>
          <w:szCs w:val="32"/>
        </w:rPr>
        <w:t>（四）单位现有平台、基础设施和配套仪器设备、专业技术水平和组织管理能力等现有条件基础等内容，以及能够满足项目（课题）开展所需条件的说明。</w:t>
      </w:r>
    </w:p>
    <w:p>
      <w:pPr>
        <w:keepNext w:val="0"/>
        <w:keepLines w:val="0"/>
        <w:pageBreakBefore w:val="0"/>
        <w:kinsoku/>
        <w:wordWrap/>
        <w:topLinePunct w:val="0"/>
        <w:bidi w:val="0"/>
        <w:adjustRightInd w:val="0"/>
        <w:snapToGrid w:val="0"/>
        <w:spacing w:line="568" w:lineRule="exact"/>
        <w:ind w:firstLine="0"/>
        <w:jc w:val="center"/>
        <w:rPr>
          <w:rFonts w:hint="eastAsia" w:ascii="方正小标宋简体" w:hAnsi="方正小标宋简体" w:eastAsia="方正小标宋简体" w:cs="方正小标宋简体"/>
          <w:color w:val="auto"/>
          <w:sz w:val="32"/>
          <w:szCs w:val="32"/>
        </w:rPr>
      </w:pPr>
      <w:r>
        <w:rPr>
          <w:rFonts w:hint="eastAsia" w:ascii="仿宋_GB2312" w:hAnsi="仿宋_GB2312" w:eastAsia="仿宋_GB2312" w:cs="仿宋_GB2312"/>
          <w:bCs/>
          <w:color w:val="auto"/>
          <w:kern w:val="0"/>
          <w:sz w:val="32"/>
          <w:szCs w:val="32"/>
        </w:rPr>
        <w:br w:type="page"/>
      </w:r>
      <w:r>
        <w:rPr>
          <w:rFonts w:hint="eastAsia" w:ascii="方正小标宋简体" w:hAnsi="方正小标宋简体" w:eastAsia="方正小标宋简体" w:cs="方正小标宋简体"/>
          <w:b w:val="0"/>
          <w:bCs/>
          <w:color w:val="auto"/>
          <w:sz w:val="44"/>
          <w:szCs w:val="44"/>
        </w:rPr>
        <w:t>项目（课题）牵头承担单位基本情况表</w:t>
      </w:r>
    </w:p>
    <w:p>
      <w:pPr>
        <w:keepNext w:val="0"/>
        <w:keepLines w:val="0"/>
        <w:pageBreakBefore w:val="0"/>
        <w:kinsoku/>
        <w:wordWrap/>
        <w:topLinePunct w:val="0"/>
        <w:autoSpaceDE w:val="0"/>
        <w:autoSpaceDN w:val="0"/>
        <w:bidi w:val="0"/>
        <w:adjustRightInd w:val="0"/>
        <w:snapToGrid w:val="0"/>
        <w:spacing w:line="420" w:lineRule="exact"/>
        <w:ind w:firstLine="376"/>
        <w:rPr>
          <w:rFonts w:ascii="黑体" w:hAnsi="黑体" w:eastAsia="黑体" w:cs="黑体"/>
          <w:b w:val="0"/>
          <w:bCs w:val="0"/>
          <w:color w:val="auto"/>
          <w:sz w:val="20"/>
        </w:rPr>
      </w:pPr>
      <w:r>
        <w:rPr>
          <w:rFonts w:hint="eastAsia" w:ascii="黑体" w:hAnsi="黑体" w:eastAsia="黑体" w:cs="黑体"/>
          <w:b w:val="0"/>
          <w:bCs w:val="0"/>
          <w:color w:val="auto"/>
          <w:sz w:val="20"/>
        </w:rPr>
        <w:t>表A1</w:t>
      </w: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126"/>
        <w:gridCol w:w="1339"/>
        <w:gridCol w:w="816"/>
        <w:gridCol w:w="957"/>
        <w:gridCol w:w="848"/>
        <w:gridCol w:w="308"/>
        <w:gridCol w:w="309"/>
        <w:gridCol w:w="515"/>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blHeader/>
          <w:jc w:val="center"/>
        </w:trPr>
        <w:tc>
          <w:tcPr>
            <w:tcW w:w="9000" w:type="dxa"/>
            <w:gridSpan w:val="10"/>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ascii="楷体_GB2312" w:hAnsi="楷体_GB2312" w:eastAsia="楷体_GB2312"/>
                <w:color w:val="auto"/>
                <w:sz w:val="20"/>
              </w:rPr>
            </w:pPr>
            <w:r>
              <w:rPr>
                <w:rFonts w:hint="eastAsia" w:ascii="楷体_GB2312" w:hAnsi="楷体_GB2312" w:eastAsia="楷体_GB2312"/>
                <w:color w:val="auto"/>
                <w:sz w:val="20"/>
              </w:rPr>
              <w:t xml:space="preserve">填表说明：1.组织机构代码指企事业单位国家标准代码，单位若已三证合一请填写单位社会信用代码,            无组织机构代码的单位填写“000000000”； </w:t>
            </w:r>
          </w:p>
          <w:p>
            <w:pPr>
              <w:autoSpaceDE w:val="0"/>
              <w:autoSpaceDN w:val="0"/>
              <w:adjustRightInd w:val="0"/>
              <w:snapToGrid w:val="0"/>
              <w:spacing w:before="65" w:beforeLines="15" w:line="264" w:lineRule="auto"/>
              <w:ind w:left="1314" w:hanging="1400" w:hangingChars="700"/>
              <w:rPr>
                <w:rFonts w:ascii="楷体_GB2312" w:hAnsi="楷体_GB2312"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2.单位公章名称必须与单位名称一致；</w:t>
            </w:r>
          </w:p>
          <w:p>
            <w:pPr>
              <w:autoSpaceDE w:val="0"/>
              <w:autoSpaceDN w:val="0"/>
              <w:adjustRightInd w:val="0"/>
              <w:snapToGrid w:val="0"/>
              <w:spacing w:before="65" w:beforeLines="15" w:line="264" w:lineRule="auto"/>
              <w:ind w:left="1314" w:hanging="1400" w:hangingChars="700"/>
              <w:rPr>
                <w:rFonts w:eastAsia="楷体_GB2312"/>
                <w:color w:val="auto"/>
                <w:sz w:val="20"/>
                <w:szCs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3.单位开户名称应与单位名称一致，如有开户名称不一致等特殊情况，必须提供证明文件。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牵头承担单位</w:t>
            </w: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08" w:type="dxa"/>
            <w:gridSpan w:val="8"/>
            <w:noWrap w:val="0"/>
            <w:vAlign w:val="center"/>
          </w:tcPr>
          <w:p>
            <w:pPr>
              <w:tabs>
                <w:tab w:val="left" w:pos="360"/>
              </w:tabs>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0" w:type="dxa"/>
            <w:gridSpan w:val="4"/>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132"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单位开户名称</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开户银行（全称）</w:t>
            </w:r>
          </w:p>
        </w:tc>
        <w:tc>
          <w:tcPr>
            <w:tcW w:w="2155"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3"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汇入地点</w:t>
            </w:r>
          </w:p>
        </w:tc>
        <w:tc>
          <w:tcPr>
            <w:tcW w:w="2140"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银行账号</w:t>
            </w:r>
          </w:p>
        </w:tc>
        <w:tc>
          <w:tcPr>
            <w:tcW w:w="2155"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3"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银行机构代码</w:t>
            </w:r>
          </w:p>
        </w:tc>
        <w:tc>
          <w:tcPr>
            <w:tcW w:w="2140"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5"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5" w:type="dxa"/>
            <w:gridSpan w:val="2"/>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8" w:type="dxa"/>
            <w:gridSpan w:val="4"/>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08" w:type="dxa"/>
            <w:gridSpan w:val="8"/>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2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项目（课题）负责人</w:t>
            </w: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项目（课题）联系人</w:t>
            </w: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6" w:type="dxa"/>
            <w:vMerge w:val="restart"/>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69" w:type="dxa"/>
            <w:gridSpan w:val="7"/>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46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6" w:type="dxa"/>
            <w:vMerge w:val="continue"/>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3"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5" w:type="dxa"/>
            <w:gridSpan w:val="3"/>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1" w:type="dxa"/>
            <w:gridSpan w:val="2"/>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blHeader/>
          <w:jc w:val="center"/>
        </w:trPr>
        <w:tc>
          <w:tcPr>
            <w:tcW w:w="466" w:type="dxa"/>
            <w:vMerge w:val="continue"/>
            <w:noWrap w:val="0"/>
            <w:vAlign w:val="center"/>
          </w:tcPr>
          <w:p>
            <w:pPr>
              <w:autoSpaceDE w:val="0"/>
              <w:autoSpaceDN w:val="0"/>
              <w:adjustRightInd w:val="0"/>
              <w:snapToGrid w:val="0"/>
              <w:spacing w:line="276" w:lineRule="auto"/>
              <w:rPr>
                <w:color w:val="auto"/>
                <w:sz w:val="20"/>
              </w:rPr>
            </w:pPr>
          </w:p>
        </w:tc>
        <w:tc>
          <w:tcPr>
            <w:tcW w:w="2126" w:type="dxa"/>
            <w:vMerge w:val="continue"/>
            <w:noWrap w:val="0"/>
            <w:vAlign w:val="center"/>
          </w:tcPr>
          <w:p>
            <w:pPr>
              <w:autoSpaceDE w:val="0"/>
              <w:autoSpaceDN w:val="0"/>
              <w:adjustRightInd w:val="0"/>
              <w:snapToGrid w:val="0"/>
              <w:spacing w:line="276" w:lineRule="auto"/>
              <w:rPr>
                <w:color w:val="auto"/>
                <w:sz w:val="20"/>
              </w:rPr>
            </w:pPr>
          </w:p>
        </w:tc>
        <w:tc>
          <w:tcPr>
            <w:tcW w:w="1339" w:type="dxa"/>
            <w:noWrap w:val="0"/>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69" w:type="dxa"/>
            <w:gridSpan w:val="7"/>
            <w:noWrap w:val="0"/>
            <w:vAlign w:val="center"/>
          </w:tcPr>
          <w:p>
            <w:pPr>
              <w:autoSpaceDE w:val="0"/>
              <w:autoSpaceDN w:val="0"/>
              <w:adjustRightInd w:val="0"/>
              <w:snapToGrid w:val="0"/>
              <w:spacing w:line="276" w:lineRule="auto"/>
              <w:rPr>
                <w:color w:val="auto"/>
                <w:sz w:val="20"/>
              </w:rPr>
            </w:pPr>
          </w:p>
        </w:tc>
      </w:tr>
    </w:tbl>
    <w:p>
      <w:pPr>
        <w:snapToGrid w:val="0"/>
        <w:spacing w:line="300" w:lineRule="auto"/>
        <w:rPr>
          <w:rFonts w:ascii="长城小标宋体" w:hAnsi="长城小标宋体" w:eastAsia="长城小标宋体"/>
          <w:color w:val="auto"/>
          <w:sz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项目（课题）参与单位基本情况表</w:t>
      </w:r>
    </w:p>
    <w:p>
      <w:pPr>
        <w:autoSpaceDE w:val="0"/>
        <w:autoSpaceDN w:val="0"/>
        <w:adjustRightInd w:val="0"/>
        <w:snapToGrid w:val="0"/>
        <w:rPr>
          <w:rFonts w:ascii="黑体" w:hAnsi="黑体" w:eastAsia="黑体" w:cs="黑体"/>
          <w:b w:val="0"/>
          <w:bCs w:val="0"/>
          <w:color w:val="auto"/>
          <w:sz w:val="20"/>
        </w:rPr>
      </w:pPr>
      <w:r>
        <w:rPr>
          <w:rFonts w:hint="eastAsia" w:ascii="黑体" w:hAnsi="黑体" w:eastAsia="黑体" w:cs="黑体"/>
          <w:b w:val="0"/>
          <w:bCs w:val="0"/>
          <w:color w:val="auto"/>
          <w:sz w:val="20"/>
        </w:rPr>
        <w:t>表B1</w:t>
      </w:r>
    </w:p>
    <w:tbl>
      <w:tblPr>
        <w:tblStyle w:val="8"/>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blHeader/>
          <w:jc w:val="center"/>
        </w:trPr>
        <w:tc>
          <w:tcPr>
            <w:tcW w:w="9010" w:type="dxa"/>
            <w:gridSpan w:val="9"/>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eastAsia="楷体_GB2312"/>
                <w:color w:val="auto"/>
                <w:sz w:val="20"/>
                <w:szCs w:val="20"/>
              </w:rPr>
            </w:pPr>
            <w:r>
              <w:rPr>
                <w:rFonts w:hint="eastAsia" w:eastAsia="楷体_GB2312"/>
                <w:color w:val="auto"/>
                <w:sz w:val="20"/>
                <w:szCs w:val="20"/>
              </w:rPr>
              <w:t>填表说明：1.</w:t>
            </w:r>
            <w:r>
              <w:rPr>
                <w:rFonts w:hint="eastAsia" w:ascii="楷体_GB2312" w:hAnsi="楷体_GB2312" w:eastAsia="楷体_GB2312"/>
                <w:color w:val="auto"/>
                <w:sz w:val="20"/>
              </w:rPr>
              <w:t>组织机构代码指企事业单位国家标准代码，</w:t>
            </w:r>
            <w:r>
              <w:rPr>
                <w:rFonts w:hint="eastAsia" w:eastAsia="楷体_GB2312"/>
                <w:color w:val="auto"/>
                <w:sz w:val="20"/>
                <w:szCs w:val="20"/>
              </w:rPr>
              <w:t>单位若已三证合一请填写单位社会信用代码</w:t>
            </w:r>
            <w:r>
              <w:rPr>
                <w:rFonts w:hint="eastAsia" w:ascii="宋体" w:hAnsi="宋体" w:cs="宋体"/>
                <w:color w:val="auto"/>
                <w:sz w:val="20"/>
                <w:szCs w:val="20"/>
              </w:rPr>
              <w:t>，</w:t>
            </w:r>
            <w:r>
              <w:rPr>
                <w:rFonts w:hint="eastAsia" w:ascii="楷体_GB2312" w:hAnsi="楷体_GB2312" w:eastAsia="楷体_GB2312"/>
                <w:color w:val="auto"/>
                <w:sz w:val="20"/>
              </w:rPr>
              <w:t xml:space="preserve">            无组织机构代码的单位填写“000000000”</w:t>
            </w:r>
            <w:r>
              <w:rPr>
                <w:rFonts w:hint="eastAsia" w:eastAsia="楷体_GB2312"/>
                <w:color w:val="auto"/>
                <w:sz w:val="20"/>
                <w:szCs w:val="20"/>
              </w:rPr>
              <w:t>；</w:t>
            </w:r>
          </w:p>
          <w:p>
            <w:pPr>
              <w:autoSpaceDE w:val="0"/>
              <w:autoSpaceDN w:val="0"/>
              <w:adjustRightInd w:val="0"/>
              <w:snapToGrid w:val="0"/>
              <w:spacing w:before="65" w:beforeLines="15" w:line="264" w:lineRule="auto"/>
              <w:rPr>
                <w:rFonts w:eastAsia="楷体_GB2312"/>
                <w:color w:val="auto"/>
                <w:sz w:val="20"/>
                <w:szCs w:val="20"/>
              </w:rPr>
            </w:pPr>
            <w:r>
              <w:rPr>
                <w:rFonts w:hint="eastAsia" w:eastAsia="楷体_GB2312"/>
                <w:color w:val="auto"/>
                <w:sz w:val="20"/>
                <w:szCs w:val="20"/>
              </w:rPr>
              <w:t xml:space="preserve">        </w:t>
            </w:r>
            <w:r>
              <w:rPr>
                <w:rFonts w:eastAsia="楷体_GB2312"/>
                <w:color w:val="auto"/>
                <w:sz w:val="20"/>
                <w:szCs w:val="20"/>
              </w:rPr>
              <w:t xml:space="preserve">  </w:t>
            </w:r>
            <w:r>
              <w:rPr>
                <w:rFonts w:hint="eastAsia" w:eastAsia="楷体_GB2312"/>
                <w:color w:val="auto"/>
                <w:sz w:val="20"/>
                <w:szCs w:val="20"/>
              </w:rPr>
              <w:t>2.单位公章名称必须与单位名称一致。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w:t>
            </w: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12" w:type="dxa"/>
            <w:gridSpan w:val="7"/>
            <w:noWrap w:val="0"/>
            <w:vAlign w:val="center"/>
          </w:tcPr>
          <w:p>
            <w:pPr>
              <w:tabs>
                <w:tab w:val="left" w:pos="360"/>
                <w:tab w:val="left" w:pos="1260"/>
              </w:tabs>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4" w:type="dxa"/>
            <w:gridSpan w:val="4"/>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135"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3"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8"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6" w:type="dxa"/>
            <w:gridSpan w:val="2"/>
            <w:noWrap w:val="0"/>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8" w:type="dxa"/>
            <w:gridSpan w:val="3"/>
            <w:noWrap w:val="0"/>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12" w:type="dxa"/>
            <w:gridSpan w:val="7"/>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30"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参与单位负责人</w:t>
            </w: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参与单位联系人</w:t>
            </w: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noWrap w:val="0"/>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szCs w:val="20"/>
              </w:rPr>
            </w:pPr>
          </w:p>
        </w:tc>
      </w:tr>
    </w:tbl>
    <w:p>
      <w:pPr>
        <w:autoSpaceDE w:val="0"/>
        <w:autoSpaceDN w:val="0"/>
        <w:adjustRightInd w:val="0"/>
        <w:snapToGrid w:val="0"/>
        <w:spacing w:line="560" w:lineRule="exact"/>
        <w:ind w:firstLine="0"/>
        <w:jc w:val="center"/>
        <w:rPr>
          <w:rFonts w:hint="eastAsia" w:ascii="方正小标宋简体" w:hAnsi="方正小标宋简体" w:eastAsia="方正小标宋简体" w:cs="方正小标宋简体"/>
          <w:color w:val="auto"/>
          <w:sz w:val="32"/>
          <w:szCs w:val="32"/>
        </w:rPr>
      </w:pPr>
      <w:r>
        <w:rPr>
          <w:rFonts w:ascii="宋体" w:hAnsi="宋体"/>
          <w:color w:val="auto"/>
          <w:sz w:val="20"/>
        </w:rPr>
        <w:br w:type="page"/>
      </w:r>
      <w:r>
        <w:rPr>
          <w:rFonts w:hint="eastAsia" w:ascii="方正小标宋简体" w:hAnsi="方正小标宋简体" w:eastAsia="方正小标宋简体" w:cs="方正小标宋简体"/>
          <w:b w:val="0"/>
          <w:bCs w:val="0"/>
          <w:color w:val="auto"/>
          <w:sz w:val="44"/>
          <w:szCs w:val="44"/>
        </w:rPr>
        <w:t>项目（课题）成员基本情况表</w:t>
      </w:r>
    </w:p>
    <w:p>
      <w:pPr>
        <w:autoSpaceDE w:val="0"/>
        <w:autoSpaceDN w:val="0"/>
        <w:adjustRightInd w:val="0"/>
        <w:snapToGrid w:val="0"/>
        <w:spacing w:line="560" w:lineRule="exact"/>
        <w:rPr>
          <w:b w:val="0"/>
          <w:bCs w:val="0"/>
          <w:color w:val="auto"/>
          <w:sz w:val="20"/>
        </w:rPr>
      </w:pPr>
      <w:r>
        <w:rPr>
          <w:rFonts w:hint="eastAsia" w:ascii="黑体" w:hAnsi="黑体" w:eastAsia="黑体" w:cs="黑体"/>
          <w:b w:val="0"/>
          <w:bCs w:val="0"/>
          <w:color w:val="auto"/>
          <w:sz w:val="20"/>
        </w:rPr>
        <w:t>表B2</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项目（课题）编号：</w:t>
      </w:r>
      <w:r>
        <w:rPr>
          <w:rFonts w:hint="eastAsia" w:ascii="仿宋_GB2312" w:hAnsi="仿宋_GB2312" w:eastAsia="仿宋_GB2312" w:cs="仿宋_GB2312"/>
          <w:b w:val="0"/>
          <w:bCs w:val="0"/>
          <w:color w:val="auto"/>
          <w:sz w:val="20"/>
        </w:rPr>
        <w:tab/>
      </w:r>
      <w:r>
        <w:rPr>
          <w:rFonts w:hint="eastAsia" w:ascii="仿宋_GB2312" w:hAnsi="仿宋_GB2312" w:eastAsia="仿宋_GB2312" w:cs="仿宋_GB2312"/>
          <w:b w:val="0"/>
          <w:bCs w:val="0"/>
          <w:color w:val="auto"/>
          <w:sz w:val="20"/>
        </w:rPr>
        <w:tab/>
      </w:r>
      <w:r>
        <w:rPr>
          <w:rFonts w:hint="eastAsia" w:ascii="仿宋_GB2312" w:hAnsi="仿宋_GB2312" w:eastAsia="仿宋_GB2312" w:cs="仿宋_GB2312"/>
          <w:b w:val="0"/>
          <w:bCs w:val="0"/>
          <w:color w:val="auto"/>
          <w:sz w:val="20"/>
        </w:rPr>
        <w:t xml:space="preserve">   　 　          项目（课题）名称： </w:t>
      </w:r>
    </w:p>
    <w:tbl>
      <w:tblPr>
        <w:tblStyle w:val="8"/>
        <w:tblW w:w="9144" w:type="dxa"/>
        <w:jc w:val="center"/>
        <w:tblLayout w:type="fixed"/>
        <w:tblCellMar>
          <w:top w:w="0" w:type="dxa"/>
          <w:left w:w="0" w:type="dxa"/>
          <w:bottom w:w="0" w:type="dxa"/>
          <w:right w:w="0" w:type="dxa"/>
        </w:tblCellMar>
      </w:tblPr>
      <w:tblGrid>
        <w:gridCol w:w="366"/>
        <w:gridCol w:w="563"/>
        <w:gridCol w:w="1565"/>
        <w:gridCol w:w="4189"/>
        <w:gridCol w:w="931"/>
        <w:gridCol w:w="980"/>
        <w:gridCol w:w="550"/>
      </w:tblGrid>
      <w:tr>
        <w:tblPrEx>
          <w:tblCellMar>
            <w:top w:w="0" w:type="dxa"/>
            <w:left w:w="0" w:type="dxa"/>
            <w:bottom w:w="0" w:type="dxa"/>
            <w:right w:w="0" w:type="dxa"/>
          </w:tblCellMar>
        </w:tblPrEx>
        <w:trPr>
          <w:cantSplit/>
          <w:trHeight w:val="1128" w:hRule="atLeast"/>
          <w:jc w:val="center"/>
        </w:trPr>
        <w:tc>
          <w:tcPr>
            <w:tcW w:w="91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填表说明：1.人员分类：负责人、骨干、其他人员； </w:t>
            </w:r>
          </w:p>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2.职称分类：正高级、副高级、中级、初级、其他；</w:t>
            </w:r>
          </w:p>
          <w:p>
            <w:pPr>
              <w:autoSpaceDE w:val="0"/>
              <w:autoSpaceDN w:val="0"/>
              <w:adjustRightInd w:val="0"/>
              <w:snapToGrid w:val="0"/>
              <w:rPr>
                <w:rFonts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3.固定人员需填写人员明细。</w:t>
            </w:r>
          </w:p>
        </w:tc>
      </w:tr>
      <w:tr>
        <w:tblPrEx>
          <w:tblCellMar>
            <w:top w:w="0" w:type="dxa"/>
            <w:left w:w="0" w:type="dxa"/>
            <w:bottom w:w="0" w:type="dxa"/>
            <w:right w:w="0" w:type="dxa"/>
          </w:tblCellMar>
        </w:tblPrEx>
        <w:trPr>
          <w:cantSplit/>
          <w:trHeight w:val="1450" w:hRule="atLeast"/>
          <w:jc w:val="center"/>
        </w:trPr>
        <w:tc>
          <w:tcPr>
            <w:tcW w:w="3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序号</w:t>
            </w:r>
          </w:p>
        </w:tc>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姓名</w:t>
            </w:r>
          </w:p>
        </w:tc>
        <w:tc>
          <w:tcPr>
            <w:tcW w:w="156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身份证号码</w:t>
            </w:r>
          </w:p>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（士官证、护照）</w:t>
            </w:r>
          </w:p>
        </w:tc>
        <w:tc>
          <w:tcPr>
            <w:tcW w:w="41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工作单位</w:t>
            </w:r>
          </w:p>
          <w:p>
            <w:pPr>
              <w:adjustRightInd w:val="0"/>
              <w:snapToGrid w:val="0"/>
              <w:jc w:val="center"/>
              <w:rPr>
                <w:rFonts w:hint="eastAsia" w:ascii="黑体" w:hAnsi="黑体" w:eastAsia="黑体" w:cs="黑体"/>
                <w:color w:val="auto"/>
                <w:sz w:val="20"/>
                <w:szCs w:val="20"/>
              </w:rPr>
            </w:pPr>
          </w:p>
        </w:tc>
        <w:tc>
          <w:tcPr>
            <w:tcW w:w="9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技术职称</w:t>
            </w:r>
          </w:p>
          <w:p>
            <w:pPr>
              <w:adjustRightInd w:val="0"/>
              <w:snapToGrid w:val="0"/>
              <w:jc w:val="center"/>
              <w:rPr>
                <w:rFonts w:hint="eastAsia" w:ascii="黑体" w:hAnsi="黑体" w:eastAsia="黑体" w:cs="黑体"/>
                <w:color w:val="auto"/>
                <w:sz w:val="20"/>
                <w:szCs w:val="20"/>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投入本项目</w:t>
            </w:r>
            <w:r>
              <w:rPr>
                <w:rFonts w:hint="eastAsia" w:ascii="黑体" w:hAnsi="黑体" w:eastAsia="黑体" w:cs="黑体"/>
                <w:color w:val="auto"/>
                <w:sz w:val="20"/>
              </w:rPr>
              <w:t>（课题）</w:t>
            </w:r>
            <w:r>
              <w:rPr>
                <w:rFonts w:hint="eastAsia" w:ascii="黑体" w:hAnsi="黑体" w:eastAsia="黑体" w:cs="黑体"/>
                <w:color w:val="auto"/>
                <w:sz w:val="20"/>
                <w:szCs w:val="20"/>
              </w:rPr>
              <w:t>的全时工作时间</w:t>
            </w:r>
          </w:p>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（人月）</w:t>
            </w:r>
          </w:p>
        </w:tc>
        <w:tc>
          <w:tcPr>
            <w:tcW w:w="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人员</w:t>
            </w:r>
          </w:p>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分类</w:t>
            </w:r>
          </w:p>
        </w:tc>
      </w:tr>
      <w:tr>
        <w:tblPrEx>
          <w:tblCellMar>
            <w:top w:w="0" w:type="dxa"/>
            <w:left w:w="0" w:type="dxa"/>
            <w:bottom w:w="0" w:type="dxa"/>
            <w:right w:w="0" w:type="dxa"/>
          </w:tblCellMar>
        </w:tblPrEx>
        <w:trPr>
          <w:cantSplit/>
          <w:trHeight w:val="397" w:hRule="atLeast"/>
          <w:jc w:val="center"/>
        </w:trPr>
        <w:tc>
          <w:tcPr>
            <w:tcW w:w="36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黑体" w:hAnsi="黑体" w:eastAsia="黑体" w:cs="黑体"/>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（1）</w:t>
            </w: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（2）</w:t>
            </w: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（3）</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（4）</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（5）</w:t>
            </w: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（6）</w:t>
            </w: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固定人员合计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流动人员或临时聘用人员合计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累计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numPr>
          <w:ilvl w:val="2"/>
          <w:numId w:val="0"/>
        </w:numPr>
        <w:rPr>
          <w:color w:val="auto"/>
        </w:rPr>
      </w:pPr>
    </w:p>
    <w:p>
      <w:pPr>
        <w:rPr>
          <w:color w:val="auto"/>
        </w:rPr>
      </w:pPr>
    </w:p>
    <w:p>
      <w:pPr>
        <w:adjustRightInd w:val="0"/>
        <w:snapToGrid w:val="0"/>
        <w:spacing w:line="590" w:lineRule="exact"/>
        <w:rPr>
          <w:rFonts w:ascii="黑体" w:hAnsi="黑体" w:eastAsia="黑体" w:cs="黑体"/>
          <w:bCs/>
          <w:color w:val="auto"/>
          <w:kern w:val="0"/>
          <w:sz w:val="32"/>
          <w:szCs w:val="32"/>
        </w:rPr>
      </w:pPr>
    </w:p>
    <w:p>
      <w:pPr>
        <w:adjustRightInd w:val="0"/>
        <w:snapToGrid w:val="0"/>
        <w:spacing w:line="590" w:lineRule="exact"/>
        <w:ind w:firstLine="640" w:firstLineChars="200"/>
        <w:rPr>
          <w:rFonts w:ascii="黑体" w:hAnsi="黑体" w:eastAsia="黑体" w:cs="黑体"/>
          <w:bCs/>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二、项目（课题）的立项必要性分析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简要介绍研究/推广示范的背景意义、国内外相关的情况；预期解决的重大问题；概述项目（课题）与广东省农业领域相关规划级战略、学科发展的相关性；所面向的广东省经济社会发展需求；预期解决的重大或关键科学问题）</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（技术推广示范类项目介绍技术特点，如已经推广示范，需要介绍推广示范情况）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三、项目（课题）内容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w:t>
      </w:r>
      <w:r>
        <w:rPr>
          <w:rFonts w:hint="eastAsia" w:ascii="仿宋_GB2312" w:hAnsi="仿宋_GB2312" w:eastAsia="仿宋_GB2312" w:cs="仿宋_GB2312"/>
          <w:i w:val="0"/>
          <w:iCs w:val="0"/>
          <w:snapToGrid w:val="0"/>
          <w:color w:val="auto"/>
          <w:kern w:val="0"/>
          <w:sz w:val="32"/>
          <w:szCs w:val="32"/>
          <w:lang w:eastAsia="zh-Hans"/>
        </w:rPr>
        <w:t>分别按项目（课题）牵头承担单位和项目（课题）参与单位</w:t>
      </w:r>
      <w:r>
        <w:rPr>
          <w:rFonts w:hint="eastAsia" w:ascii="仿宋_GB2312" w:hAnsi="仿宋_GB2312" w:eastAsia="仿宋_GB2312" w:cs="仿宋_GB2312"/>
          <w:i w:val="0"/>
          <w:iCs w:val="0"/>
          <w:snapToGrid w:val="0"/>
          <w:color w:val="auto"/>
          <w:kern w:val="0"/>
          <w:sz w:val="32"/>
          <w:szCs w:val="32"/>
        </w:rPr>
        <w:t>详述项目（课题）计划开展的研究开发内容或推广内容，其中推广示范项目应对其核心技术及其配套技术进行重点描述，明确技术要点。）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（一）关联关系说明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（应如实主动说明项目（课题）承担单位之间有无关联关系，或项目（课题）负责人与参与单位之间有无关联关系。格式自拟。）</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（二）项目（课题）牵头承担单位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.单位名称：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项目（课题）负责人：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（三）项目（课题）参与单位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1.单位名称：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四、项目（课题）立项的目标（绩效目标）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（简要介绍项目（课题）的预计实现的整体目标，并对目标进行必要的分解，明确具体的目标和目标的考核指标，并提出明确的考核指标值；对预计产生的绩效效益逐项进行说明）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（一）总体目标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（二）总体考核指标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（三）各任务目标及考核指标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（技术推广示范项目详述推广示范的范围、受益对象和受益程度，重点对推广示范过程中节约成本、提升品质、增加效益、保护耕地与生态环境进行阐述）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五、项目（课题）技术方案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（简要介绍项目（课题）的技术方案，并按照任务的分解方式，对每个任务的技术路线进行说明）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（一）技术路线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1.技术方案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2.主要技术指标和参数分析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3.可行性分析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4.优点和积极效果分析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5.所要解决的关键问题分析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（二）主要创新点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1.创新的主要性质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（包含首创性、价值性、实效性、系统性等）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2.创新的类型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（包含原始创新、自主创新、合作创新等）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3.创新的价值</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（三）知识产权和技术标准分析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rPr>
        <w:t>1</w:t>
      </w:r>
      <w:r>
        <w:rPr>
          <w:rFonts w:hint="eastAsia" w:ascii="仿宋_GB2312" w:hAnsi="仿宋_GB2312" w:eastAsia="仿宋_GB2312" w:cs="仿宋_GB2312"/>
          <w:snapToGrid w:val="0"/>
          <w:color w:val="auto"/>
          <w:kern w:val="0"/>
          <w:sz w:val="32"/>
          <w:szCs w:val="32"/>
          <w:lang w:eastAsia="zh-Hans"/>
        </w:rPr>
        <w:t>.知识产权分析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lang w:eastAsia="zh-Hans"/>
        </w:rPr>
        <w:t>（1）知识产权专利布局分析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lang w:eastAsia="zh-Hans"/>
        </w:rPr>
        <w:t>（2）现有知识产权侵权与创新性分析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zh-Hans"/>
        </w:rPr>
      </w:pPr>
      <w:r>
        <w:rPr>
          <w:rFonts w:hint="eastAsia" w:ascii="仿宋_GB2312" w:hAnsi="仿宋_GB2312" w:eastAsia="仿宋_GB2312" w:cs="仿宋_GB2312"/>
          <w:snapToGrid w:val="0"/>
          <w:color w:val="auto"/>
          <w:kern w:val="0"/>
          <w:sz w:val="32"/>
          <w:szCs w:val="32"/>
        </w:rPr>
        <w:t>（3）</w:t>
      </w:r>
      <w:r>
        <w:rPr>
          <w:rFonts w:hint="eastAsia" w:ascii="仿宋_GB2312" w:hAnsi="仿宋_GB2312" w:eastAsia="仿宋_GB2312" w:cs="仿宋_GB2312"/>
          <w:snapToGrid w:val="0"/>
          <w:color w:val="auto"/>
          <w:kern w:val="0"/>
          <w:sz w:val="32"/>
          <w:szCs w:val="32"/>
          <w:lang w:eastAsia="zh-Hans"/>
        </w:rPr>
        <w:t>项目（课题）实施许可分析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（主要分析项目（课题）形成的知识产权价值和实施许可可能性和方式等。）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w:t>
      </w:r>
      <w:r>
        <w:rPr>
          <w:rFonts w:hint="eastAsia" w:ascii="仿宋_GB2312" w:hAnsi="仿宋_GB2312" w:eastAsia="仿宋_GB2312" w:cs="仿宋_GB2312"/>
          <w:snapToGrid w:val="0"/>
          <w:color w:val="auto"/>
          <w:kern w:val="0"/>
          <w:sz w:val="32"/>
          <w:szCs w:val="32"/>
          <w:lang w:eastAsia="zh-Hans"/>
        </w:rPr>
        <w:t>.技术标准分析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（从知识产权与技术标准的推动关系分析，制定技术标准）。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w:t>
      </w:r>
      <w:r>
        <w:rPr>
          <w:rFonts w:hint="eastAsia" w:ascii="楷体_GB2312" w:hAnsi="楷体_GB2312" w:eastAsia="楷体_GB2312" w:cs="楷体_GB2312"/>
          <w:i w:val="0"/>
          <w:iCs w:val="0"/>
          <w:snapToGrid w:val="0"/>
          <w:color w:val="auto"/>
          <w:kern w:val="0"/>
          <w:sz w:val="32"/>
          <w:szCs w:val="32"/>
          <w:lang w:val="en-US" w:eastAsia="zh-Hans"/>
        </w:rPr>
        <w:t>四</w:t>
      </w:r>
      <w:r>
        <w:rPr>
          <w:rFonts w:hint="eastAsia" w:ascii="楷体_GB2312" w:hAnsi="楷体_GB2312" w:eastAsia="楷体_GB2312" w:cs="楷体_GB2312"/>
          <w:i w:val="0"/>
          <w:iCs w:val="0"/>
          <w:snapToGrid w:val="0"/>
          <w:color w:val="auto"/>
          <w:kern w:val="0"/>
          <w:sz w:val="32"/>
          <w:szCs w:val="32"/>
          <w:lang w:eastAsia="zh-Hans"/>
        </w:rPr>
        <w:t>）预期的技术成果应用和价值</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技术成果的形式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技术成果的预期价值（成果转移转化）</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技术应用前景及潜在交易市场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六、基础条件和优势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（一）承担单位团队基本情况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（与课题相关的实力和基础、以往业绩等）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（二）承担单位与同类机构的比较分析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（完成预期目标的技术、人才、机制、设施设备优势等）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i w:val="0"/>
          <w:iCs w:val="0"/>
          <w:snapToGrid w:val="0"/>
          <w:color w:val="auto"/>
          <w:kern w:val="0"/>
          <w:sz w:val="32"/>
          <w:szCs w:val="32"/>
          <w:lang w:eastAsia="zh-Hans"/>
        </w:rPr>
      </w:pPr>
      <w:r>
        <w:rPr>
          <w:rFonts w:hint="eastAsia" w:ascii="楷体_GB2312" w:hAnsi="楷体_GB2312" w:eastAsia="楷体_GB2312" w:cs="楷体_GB2312"/>
          <w:i w:val="0"/>
          <w:iCs w:val="0"/>
          <w:snapToGrid w:val="0"/>
          <w:color w:val="auto"/>
          <w:kern w:val="0"/>
          <w:sz w:val="32"/>
          <w:szCs w:val="32"/>
          <w:lang w:eastAsia="zh-Hans"/>
        </w:rPr>
        <w:t>（三）负责人及主要骨干人员的情况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（从事过的主要相关研究及所负责任和作用；相关研究和产业化成果、发明专利和获奖情况，在国内外主要刊物上发表的于本项目（课题）相关的研究成果情况）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lang w:val="en-US" w:eastAsia="zh-CN"/>
        </w:rPr>
        <w:t>七</w:t>
      </w:r>
      <w:r>
        <w:rPr>
          <w:rFonts w:hint="eastAsia" w:ascii="黑体" w:hAnsi="黑体" w:eastAsia="黑体" w:cs="黑体"/>
          <w:bCs/>
          <w:snapToGrid w:val="0"/>
          <w:color w:val="auto"/>
          <w:kern w:val="0"/>
          <w:sz w:val="32"/>
          <w:szCs w:val="32"/>
        </w:rPr>
        <w:t>、组织方式和管理机制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（组织方式和机制、产学研结合、创新人才队伍的凝聚和培养等）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lang w:val="en-US" w:eastAsia="zh-CN"/>
        </w:rPr>
      </w:pPr>
      <w:r>
        <w:rPr>
          <w:rFonts w:hint="eastAsia" w:ascii="黑体" w:hAnsi="黑体" w:eastAsia="黑体" w:cs="黑体"/>
          <w:bCs/>
          <w:snapToGrid w:val="0"/>
          <w:color w:val="auto"/>
          <w:kern w:val="0"/>
          <w:sz w:val="32"/>
          <w:szCs w:val="32"/>
          <w:lang w:val="en-US" w:eastAsia="zh-CN"/>
        </w:rPr>
        <w:t>八、项目（课题）进度安排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（对项目（课题）的整体进度进行明确，对项目（课题）的进度进行必要的细化，明确每个阶段需完成的任务及目标）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Cs/>
          <w:snapToGrid w:val="0"/>
          <w:color w:val="auto"/>
          <w:kern w:val="0"/>
          <w:sz w:val="32"/>
          <w:szCs w:val="32"/>
          <w:lang w:val="en-US" w:eastAsia="zh-CN"/>
        </w:rPr>
      </w:pPr>
      <w:r>
        <w:rPr>
          <w:rFonts w:hint="eastAsia" w:ascii="黑体" w:hAnsi="黑体" w:eastAsia="黑体" w:cs="黑体"/>
          <w:bCs/>
          <w:snapToGrid w:val="0"/>
          <w:color w:val="auto"/>
          <w:kern w:val="0"/>
          <w:sz w:val="32"/>
          <w:szCs w:val="32"/>
          <w:lang w:val="en-US" w:eastAsia="zh-CN"/>
        </w:rPr>
        <w:t>九、</w:t>
      </w:r>
      <w:r>
        <w:rPr>
          <w:rFonts w:hint="eastAsia" w:ascii="黑体" w:hAnsi="黑体" w:eastAsia="黑体" w:cs="黑体"/>
          <w:bCs/>
          <w:snapToGrid w:val="0"/>
          <w:color w:val="auto"/>
          <w:kern w:val="0"/>
          <w:sz w:val="32"/>
          <w:szCs w:val="32"/>
          <w:lang w:val="en-US" w:eastAsia="zh-Hans"/>
        </w:rPr>
        <w:t>项目（课题）</w:t>
      </w:r>
      <w:r>
        <w:rPr>
          <w:rFonts w:hint="eastAsia" w:ascii="黑体" w:hAnsi="黑体" w:eastAsia="黑体" w:cs="黑体"/>
          <w:bCs/>
          <w:snapToGrid w:val="0"/>
          <w:color w:val="auto"/>
          <w:kern w:val="0"/>
          <w:sz w:val="32"/>
          <w:szCs w:val="32"/>
          <w:lang w:val="en-US" w:eastAsia="zh-CN"/>
        </w:rPr>
        <w:t>预算</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表B3：项目（课题）预算汇总表；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表B4-19：支出科目预算明细表；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表B20：项目（课题）承担单位资金分配预算明细表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（项目（课题）研究中如包含推广示范工作内容，推广示范工作预算需单独披露。项目（课题）整体为推广示范任务，则全部记入推广示范资金）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p>
    <w:p>
      <w:pPr>
        <w:autoSpaceDE/>
        <w:autoSpaceDN/>
        <w:adjustRightInd w:val="0"/>
        <w:snapToGrid w:val="0"/>
        <w:spacing w:line="590" w:lineRule="exact"/>
        <w:ind w:firstLine="640" w:firstLineChars="200"/>
        <w:jc w:val="both"/>
        <w:rPr>
          <w:rFonts w:hint="eastAsia" w:ascii="仿宋_GB2312" w:hAnsi="仿宋_GB2312" w:eastAsia="仿宋_GB2312" w:cs="仿宋_GB2312"/>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项目（课题）预算汇总表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snapToGrid w:val="0"/>
          <w:color w:val="auto"/>
          <w:kern w:val="0"/>
          <w:sz w:val="44"/>
          <w:szCs w:val="44"/>
        </w:rPr>
      </w:pPr>
    </w:p>
    <w:p>
      <w:pPr>
        <w:autoSpaceDE w:val="0"/>
        <w:autoSpaceDN w:val="0"/>
        <w:adjustRightInd w:val="0"/>
        <w:snapToGrid w:val="0"/>
        <w:spacing w:line="560" w:lineRule="exact"/>
        <w:jc w:val="right"/>
        <w:rPr>
          <w:rFonts w:hint="eastAsia" w:ascii="黑体" w:hAnsi="黑体" w:eastAsia="黑体" w:cs="黑体"/>
          <w:b w:val="0"/>
          <w:bCs w:val="0"/>
          <w:snapToGrid w:val="0"/>
          <w:color w:val="auto"/>
          <w:kern w:val="0"/>
          <w:sz w:val="20"/>
        </w:rPr>
      </w:pPr>
      <w:r>
        <w:rPr>
          <w:rFonts w:hint="eastAsia" w:ascii="黑体" w:hAnsi="黑体" w:eastAsia="黑体" w:cs="黑体"/>
          <w:b w:val="0"/>
          <w:bCs w:val="0"/>
          <w:snapToGrid w:val="0"/>
          <w:color w:val="auto"/>
          <w:kern w:val="0"/>
          <w:sz w:val="20"/>
        </w:rPr>
        <w:t xml:space="preserve">表B3    </w:t>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 xml:space="preserve">                                                   </w:t>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 xml:space="preserve"> </w:t>
      </w:r>
      <w:r>
        <w:rPr>
          <w:rFonts w:hint="eastAsia" w:ascii="黑体" w:hAnsi="黑体" w:eastAsia="黑体" w:cs="黑体"/>
          <w:b w:val="0"/>
          <w:bCs w:val="0"/>
          <w:snapToGrid w:val="0"/>
          <w:color w:val="auto"/>
          <w:kern w:val="0"/>
          <w:sz w:val="20"/>
        </w:rPr>
        <w:tab/>
      </w:r>
      <w:r>
        <w:rPr>
          <w:rFonts w:hint="eastAsia" w:ascii="黑体" w:hAnsi="黑体" w:eastAsia="黑体" w:cs="黑体"/>
          <w:b w:val="0"/>
          <w:bCs w:val="0"/>
          <w:snapToGrid w:val="0"/>
          <w:color w:val="auto"/>
          <w:kern w:val="0"/>
          <w:sz w:val="20"/>
        </w:rPr>
        <w:t xml:space="preserve"> 　　                                   </w:t>
      </w:r>
      <w:r>
        <w:rPr>
          <w:rFonts w:hint="eastAsia" w:ascii="仿宋_GB2312" w:hAnsi="仿宋_GB2312" w:eastAsia="仿宋_GB2312" w:cs="仿宋_GB2312"/>
          <w:b w:val="0"/>
          <w:bCs w:val="0"/>
          <w:snapToGrid w:val="0"/>
          <w:color w:val="auto"/>
          <w:kern w:val="0"/>
          <w:sz w:val="20"/>
        </w:rPr>
        <w:t xml:space="preserve">    金额单位：万元</w:t>
      </w:r>
    </w:p>
    <w:tbl>
      <w:tblPr>
        <w:tblStyle w:val="8"/>
        <w:tblW w:w="13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6"/>
        <w:gridCol w:w="3373"/>
        <w:gridCol w:w="1417"/>
        <w:gridCol w:w="1875"/>
        <w:gridCol w:w="1315"/>
        <w:gridCol w:w="1940"/>
        <w:gridCol w:w="1446"/>
        <w:gridCol w:w="1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restart"/>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373" w:type="dxa"/>
            <w:vMerge w:val="restart"/>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预算科目名称</w:t>
            </w:r>
          </w:p>
        </w:tc>
        <w:tc>
          <w:tcPr>
            <w:tcW w:w="3292" w:type="dxa"/>
            <w:gridSpan w:val="2"/>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3255" w:type="dxa"/>
            <w:gridSpan w:val="2"/>
            <w:tcBorders>
              <w:lef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3248" w:type="dxa"/>
            <w:gridSpan w:val="2"/>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continue"/>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3373" w:type="dxa"/>
            <w:vMerge w:val="continue"/>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一、资金支出</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（一）直接费用</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1.设备费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2.材料费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3.测试化验加工费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4.燃料动力费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5.出版/文献/信息传播/知识产权事务费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6.会议/差旅/国际合作交流费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7.培训费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8.劳务费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1</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10.专家咨询费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2</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r>
              <w:rPr>
                <w:rFonts w:hint="eastAsia" w:ascii="仿宋_GB2312" w:hAnsi="仿宋_GB2312" w:eastAsia="仿宋_GB2312" w:cs="仿宋_GB2312"/>
                <w:color w:val="auto"/>
                <w:sz w:val="20"/>
                <w:szCs w:val="20"/>
                <w:lang w:eastAsia="zh-Hans"/>
              </w:rPr>
              <w:t>.基本建设费</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3</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Hans"/>
              </w:rPr>
              <w:t>房屋建筑物构建</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4</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eastAsia="zh-Hans"/>
              </w:rPr>
              <w:t>专用设备购置</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5</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r>
              <w:rPr>
                <w:rFonts w:hint="eastAsia" w:ascii="仿宋_GB2312" w:hAnsi="仿宋_GB2312" w:eastAsia="仿宋_GB2312" w:cs="仿宋_GB2312"/>
                <w:color w:val="auto"/>
                <w:sz w:val="20"/>
                <w:szCs w:val="20"/>
                <w:lang w:eastAsia="zh-Hans"/>
              </w:rPr>
              <w:t>基础设施建设</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6</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r>
              <w:rPr>
                <w:rFonts w:hint="eastAsia" w:ascii="仿宋_GB2312" w:hAnsi="仿宋_GB2312" w:eastAsia="仿宋_GB2312" w:cs="仿宋_GB2312"/>
                <w:color w:val="auto"/>
                <w:sz w:val="20"/>
                <w:szCs w:val="20"/>
                <w:lang w:eastAsia="zh-Hans"/>
              </w:rPr>
              <w:t>大型修缮</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7</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r>
              <w:rPr>
                <w:rFonts w:hint="eastAsia" w:ascii="仿宋_GB2312" w:hAnsi="仿宋_GB2312" w:eastAsia="仿宋_GB2312" w:cs="仿宋_GB2312"/>
                <w:color w:val="auto"/>
                <w:sz w:val="20"/>
                <w:szCs w:val="20"/>
                <w:lang w:eastAsia="zh-Hans"/>
              </w:rPr>
              <w:t>信息网络建设</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val="en-US" w:eastAsia="zh-CN"/>
              </w:rPr>
              <w:t>8</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r>
              <w:rPr>
                <w:rFonts w:hint="eastAsia" w:ascii="仿宋_GB2312" w:hAnsi="仿宋_GB2312" w:eastAsia="仿宋_GB2312" w:cs="仿宋_GB2312"/>
                <w:color w:val="auto"/>
                <w:sz w:val="20"/>
                <w:szCs w:val="20"/>
                <w:lang w:eastAsia="zh-Hans"/>
              </w:rPr>
              <w:t>其他基本建设支出</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19</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12.其他</w:t>
            </w:r>
            <w:r>
              <w:rPr>
                <w:rFonts w:hint="eastAsia" w:ascii="仿宋_GB2312" w:hAnsi="仿宋_GB2312" w:eastAsia="仿宋_GB2312" w:cs="仿宋_GB2312"/>
                <w:color w:val="auto"/>
                <w:sz w:val="20"/>
                <w:szCs w:val="20"/>
                <w:lang w:eastAsia="zh-Hans"/>
              </w:rPr>
              <w:t>费用</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0</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（二）间接费用</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1</w:t>
            </w:r>
          </w:p>
        </w:tc>
        <w:tc>
          <w:tcPr>
            <w:tcW w:w="13168" w:type="dxa"/>
            <w:gridSpan w:val="7"/>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二、项目（课题）资金来源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2</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（一）省级财政专项资金</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3</w:t>
            </w:r>
          </w:p>
        </w:tc>
        <w:tc>
          <w:tcPr>
            <w:tcW w:w="3373" w:type="dxa"/>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（二）其他渠道资金</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4</w:t>
            </w:r>
          </w:p>
        </w:tc>
        <w:tc>
          <w:tcPr>
            <w:tcW w:w="3373" w:type="dxa"/>
            <w:noWrap w:val="0"/>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1.单位自筹资金</w:t>
            </w:r>
          </w:p>
        </w:tc>
        <w:tc>
          <w:tcPr>
            <w:tcW w:w="1417"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tcBorders>
              <w:bottom w:val="single" w:color="auto" w:sz="6"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val="en-US" w:eastAsia="zh-CN"/>
              </w:rPr>
              <w:t>5</w:t>
            </w:r>
          </w:p>
        </w:tc>
        <w:tc>
          <w:tcPr>
            <w:tcW w:w="3373" w:type="dxa"/>
            <w:tcBorders>
              <w:bottom w:val="single" w:color="auto" w:sz="6"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2.其他资金</w:t>
            </w:r>
          </w:p>
        </w:tc>
        <w:tc>
          <w:tcPr>
            <w:tcW w:w="1417"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tcBorders>
              <w:bottom w:val="single" w:color="auto" w:sz="6"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6"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bl>
    <w:p>
      <w:pPr>
        <w:keepNext w:val="0"/>
        <w:keepLines w:val="0"/>
        <w:pageBreakBefore w:val="0"/>
        <w:widowControl w:val="0"/>
        <w:kinsoku/>
        <w:wordWrap/>
        <w:overflowPunct/>
        <w:topLinePunct/>
        <w:bidi w:val="0"/>
        <w:adjustRightInd w:val="0"/>
        <w:snapToGrid w:val="0"/>
        <w:spacing w:line="240" w:lineRule="auto"/>
        <w:ind w:firstLine="360" w:firstLineChars="200"/>
        <w:textAlignment w:val="auto"/>
        <w:rPr>
          <w:rFonts w:hint="eastAsia" w:ascii="仿宋_GB2312" w:hAnsi="仿宋_GB2312" w:eastAsia="仿宋_GB2312" w:cs="仿宋_GB2312"/>
          <w:color w:val="auto"/>
          <w:sz w:val="18"/>
        </w:rPr>
      </w:pPr>
    </w:p>
    <w:p>
      <w:pPr>
        <w:keepNext w:val="0"/>
        <w:keepLines w:val="0"/>
        <w:pageBreakBefore w:val="0"/>
        <w:widowControl w:val="0"/>
        <w:kinsoku/>
        <w:wordWrap/>
        <w:overflowPunct/>
        <w:topLinePunct/>
        <w:bidi w:val="0"/>
        <w:adjustRightInd w:val="0"/>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黑体" w:hAnsi="黑体" w:eastAsia="黑体" w:cs="黑体"/>
          <w:color w:val="auto"/>
          <w:sz w:val="21"/>
          <w:szCs w:val="21"/>
        </w:rPr>
        <w:t>注：</w:t>
      </w:r>
      <w:r>
        <w:rPr>
          <w:rFonts w:hint="eastAsia" w:ascii="仿宋_GB2312" w:hAnsi="仿宋_GB2312" w:eastAsia="仿宋_GB2312" w:cs="仿宋_GB2312"/>
          <w:color w:val="auto"/>
          <w:sz w:val="21"/>
          <w:szCs w:val="21"/>
        </w:rPr>
        <w:t>1、请提供表B4-B19；</w:t>
      </w:r>
    </w:p>
    <w:p>
      <w:pPr>
        <w:keepNext w:val="0"/>
        <w:keepLines w:val="0"/>
        <w:pageBreakBefore w:val="0"/>
        <w:widowControl w:val="0"/>
        <w:kinsoku/>
        <w:wordWrap/>
        <w:overflowPunct/>
        <w:topLinePunct/>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0" w:lineRule="exact"/>
        <w:ind w:left="0" w:firstLine="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设备费——购置/试制设备预算明细表</w:t>
      </w:r>
    </w:p>
    <w:p>
      <w:pPr>
        <w:autoSpaceDE w:val="0"/>
        <w:autoSpaceDN w:val="0"/>
        <w:adjustRightInd w:val="0"/>
        <w:snapToGrid w:val="0"/>
        <w:spacing w:line="400" w:lineRule="exact"/>
        <w:ind w:left="0" w:firstLine="0"/>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0" w:lineRule="exact"/>
        <w:ind w:firstLine="200" w:firstLineChars="100"/>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 xml:space="preserve">表B4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仿宋_GB2312" w:hAnsi="仿宋_GB2312" w:eastAsia="仿宋_GB2312" w:cs="仿宋_GB2312"/>
          <w:b w:val="0"/>
          <w:bCs w:val="0"/>
          <w:color w:val="auto"/>
          <w:sz w:val="20"/>
          <w:lang w:val="en-US" w:eastAsia="zh-CN"/>
        </w:rPr>
        <w:t xml:space="preserve">    </w:t>
      </w:r>
      <w:r>
        <w:rPr>
          <w:rFonts w:hint="eastAsia" w:ascii="仿宋_GB2312" w:hAnsi="仿宋_GB2312" w:eastAsia="仿宋_GB2312" w:cs="仿宋_GB2312"/>
          <w:b w:val="0"/>
          <w:bCs w:val="0"/>
          <w:color w:val="auto"/>
          <w:sz w:val="20"/>
        </w:rPr>
        <w:t xml:space="preserve">  金额单位：万元</w:t>
      </w:r>
    </w:p>
    <w:tbl>
      <w:tblPr>
        <w:tblStyle w:val="8"/>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45"/>
        <w:gridCol w:w="1013"/>
        <w:gridCol w:w="778"/>
        <w:gridCol w:w="648"/>
        <w:gridCol w:w="695"/>
        <w:gridCol w:w="1085"/>
        <w:gridCol w:w="1143"/>
        <w:gridCol w:w="968"/>
        <w:gridCol w:w="808"/>
        <w:gridCol w:w="110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3829" w:type="dxa"/>
            <w:gridSpan w:val="12"/>
            <w:noWrap w:val="0"/>
            <w:vAlign w:val="center"/>
          </w:tcPr>
          <w:p>
            <w:pPr>
              <w:adjustRightInd w:val="0"/>
              <w:snapToGrid w:val="0"/>
              <w:spacing w:line="276" w:lineRule="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填表说明：1.设备分类：购置、试制；</w:t>
            </w:r>
          </w:p>
          <w:p>
            <w:pPr>
              <w:adjustRightInd w:val="0"/>
              <w:snapToGrid w:val="0"/>
              <w:spacing w:line="276" w:lineRule="auto"/>
              <w:ind w:firstLine="1000" w:firstLineChars="50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2.购置设备类型：通用、专用；</w:t>
            </w:r>
          </w:p>
          <w:p>
            <w:pPr>
              <w:adjustRightInd w:val="0"/>
              <w:snapToGrid w:val="0"/>
              <w:spacing w:line="276" w:lineRule="auto"/>
              <w:ind w:firstLine="1000" w:firstLineChars="50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3.资金来源：省级财政专项资金、其他渠道资金；</w:t>
            </w:r>
          </w:p>
          <w:p>
            <w:pPr>
              <w:adjustRightInd w:val="0"/>
              <w:snapToGrid w:val="0"/>
              <w:spacing w:line="276" w:lineRule="auto"/>
              <w:ind w:firstLine="1000" w:firstLineChars="50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4.试制设备不需填列本表（8）列、（9）列、（10）列；</w:t>
            </w:r>
          </w:p>
          <w:p>
            <w:pPr>
              <w:adjustRightInd w:val="0"/>
              <w:snapToGrid w:val="0"/>
              <w:spacing w:line="276" w:lineRule="auto"/>
              <w:ind w:firstLine="1000" w:firstLineChars="500"/>
              <w:rPr>
                <w:rFonts w:ascii="宋体" w:hAnsi="宋体"/>
                <w:color w:val="auto"/>
                <w:kern w:val="0"/>
                <w:sz w:val="20"/>
                <w:szCs w:val="20"/>
              </w:rPr>
            </w:pPr>
            <w:r>
              <w:rPr>
                <w:rFonts w:hint="eastAsia" w:ascii="楷体_GB2312" w:hAnsi="楷体_GB2312" w:eastAsia="楷体_GB2312" w:cs="楷体_GB2312"/>
                <w:color w:val="auto"/>
                <w:sz w:val="20"/>
                <w:szCs w:val="20"/>
              </w:rPr>
              <w:t>5.设备单价的单位为万元/台套，设备数量的单位为台套；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97" w:type="dxa"/>
            <w:vMerge w:val="restart"/>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24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设备名称</w:t>
            </w:r>
          </w:p>
        </w:tc>
        <w:tc>
          <w:tcPr>
            <w:tcW w:w="101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分类</w:t>
            </w:r>
          </w:p>
        </w:tc>
        <w:tc>
          <w:tcPr>
            <w:tcW w:w="77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tc>
        <w:tc>
          <w:tcPr>
            <w:tcW w:w="64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69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08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14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c>
          <w:tcPr>
            <w:tcW w:w="96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购置或试制单位</w:t>
            </w:r>
          </w:p>
        </w:tc>
        <w:tc>
          <w:tcPr>
            <w:tcW w:w="80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购置设备类型</w:t>
            </w:r>
          </w:p>
        </w:tc>
        <w:tc>
          <w:tcPr>
            <w:tcW w:w="1109"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规格型号</w:t>
            </w:r>
          </w:p>
        </w:tc>
        <w:tc>
          <w:tcPr>
            <w:tcW w:w="1140"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拟开放共享范围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7" w:type="dxa"/>
            <w:vMerge w:val="continue"/>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p>
        </w:tc>
        <w:tc>
          <w:tcPr>
            <w:tcW w:w="324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01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77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64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69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085"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143"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96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808"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c>
          <w:tcPr>
            <w:tcW w:w="1109"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（10）</w:t>
            </w:r>
          </w:p>
        </w:tc>
        <w:tc>
          <w:tcPr>
            <w:tcW w:w="1140"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7"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324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324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324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1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77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4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购置设备合计</w:t>
            </w:r>
          </w:p>
        </w:tc>
        <w:tc>
          <w:tcPr>
            <w:tcW w:w="648"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试制设备合计</w:t>
            </w:r>
          </w:p>
        </w:tc>
        <w:tc>
          <w:tcPr>
            <w:tcW w:w="648"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累计</w:t>
            </w:r>
          </w:p>
        </w:tc>
        <w:tc>
          <w:tcPr>
            <w:tcW w:w="648"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695" w:type="dxa"/>
            <w:noWrap w:val="0"/>
            <w:vAlign w:val="bottom"/>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085"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3"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96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808"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0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140"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autoSpaceDE w:val="0"/>
        <w:autoSpaceDN w:val="0"/>
        <w:spacing w:line="300" w:lineRule="auto"/>
        <w:rPr>
          <w:rFonts w:ascii="黑体" w:hAnsi="黑体" w:eastAsia="黑体"/>
          <w:color w:val="auto"/>
          <w:sz w:val="28"/>
          <w:szCs w:val="28"/>
        </w:rPr>
      </w:pPr>
    </w:p>
    <w:p>
      <w:pPr>
        <w:autoSpaceDE w:val="0"/>
        <w:autoSpaceDN w:val="0"/>
        <w:spacing w:line="300" w:lineRule="auto"/>
        <w:ind w:left="601" w:firstLine="536"/>
        <w:jc w:val="center"/>
        <w:rPr>
          <w:rFonts w:ascii="黑体" w:hAnsi="黑体" w:eastAsia="黑体" w:cs="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0" w:lineRule="exact"/>
        <w:ind w:left="0" w:firstLine="0"/>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设备费——</w:t>
      </w:r>
      <w:r>
        <w:rPr>
          <w:rFonts w:hint="eastAsia" w:ascii="方正小标宋简体" w:hAnsi="方正小标宋简体" w:eastAsia="方正小标宋简体" w:cs="方正小标宋简体"/>
          <w:snapToGrid w:val="0"/>
          <w:color w:val="auto"/>
          <w:kern w:val="0"/>
          <w:sz w:val="44"/>
          <w:szCs w:val="44"/>
          <w:lang w:eastAsia="zh-Hans"/>
        </w:rPr>
        <w:t>设备租赁</w:t>
      </w:r>
      <w:r>
        <w:rPr>
          <w:rFonts w:hint="eastAsia" w:ascii="方正小标宋简体" w:hAnsi="方正小标宋简体" w:eastAsia="方正小标宋简体" w:cs="方正小标宋简体"/>
          <w:snapToGrid w:val="0"/>
          <w:color w:val="auto"/>
          <w:kern w:val="0"/>
          <w:sz w:val="44"/>
          <w:szCs w:val="44"/>
        </w:rPr>
        <w:t>费预算明细表</w:t>
      </w:r>
    </w:p>
    <w:p>
      <w:pPr>
        <w:autoSpaceDE w:val="0"/>
        <w:autoSpaceDN w:val="0"/>
        <w:adjustRightInd w:val="0"/>
        <w:snapToGrid w:val="0"/>
        <w:spacing w:line="400" w:lineRule="exact"/>
        <w:ind w:left="0" w:firstLine="0"/>
        <w:jc w:val="center"/>
        <w:rPr>
          <w:rFonts w:hint="eastAsia" w:ascii="方正小标宋简体" w:hAnsi="方正小标宋简体" w:eastAsia="方正小标宋简体" w:cs="方正小标宋简体"/>
          <w:snapToGrid w:val="0"/>
          <w:color w:val="auto"/>
          <w:kern w:val="0"/>
          <w:sz w:val="44"/>
          <w:szCs w:val="44"/>
        </w:rPr>
      </w:pPr>
    </w:p>
    <w:p>
      <w:pPr>
        <w:autoSpaceDE w:val="0"/>
        <w:autoSpaceDN w:val="0"/>
        <w:adjustRightInd w:val="0"/>
        <w:snapToGrid w:val="0"/>
        <w:spacing w:line="560" w:lineRule="exact"/>
        <w:ind w:firstLine="200" w:firstLineChars="100"/>
        <w:jc w:val="right"/>
        <w:rPr>
          <w:rFonts w:hint="eastAsia" w:ascii="仿宋_GB2312" w:hAnsi="仿宋_GB2312" w:eastAsia="仿宋_GB2312" w:cs="仿宋_GB2312"/>
          <w:b w:val="0"/>
          <w:bCs w:val="0"/>
          <w:snapToGrid w:val="0"/>
          <w:color w:val="auto"/>
          <w:kern w:val="0"/>
          <w:sz w:val="20"/>
        </w:rPr>
      </w:pPr>
      <w:r>
        <w:rPr>
          <w:rFonts w:hint="eastAsia" w:ascii="黑体" w:hAnsi="黑体" w:eastAsia="黑体" w:cs="黑体"/>
          <w:b w:val="0"/>
          <w:bCs w:val="0"/>
          <w:snapToGrid w:val="0"/>
          <w:color w:val="auto"/>
          <w:kern w:val="0"/>
          <w:sz w:val="20"/>
        </w:rPr>
        <w:t xml:space="preserve">表B5  </w:t>
      </w:r>
      <w:r>
        <w:rPr>
          <w:rFonts w:hint="default" w:ascii="Times New Roman" w:hAnsi="Times New Roman" w:cs="Times New Roman"/>
          <w:b w:val="0"/>
          <w:bCs w:val="0"/>
          <w:snapToGrid w:val="0"/>
          <w:color w:val="auto"/>
          <w:kern w:val="0"/>
          <w:sz w:val="20"/>
        </w:rPr>
        <w:t xml:space="preserve">    </w:t>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 xml:space="preserve">                                                        </w:t>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 xml:space="preserve"> </w:t>
      </w:r>
      <w:r>
        <w:rPr>
          <w:rFonts w:hint="default" w:ascii="Times New Roman" w:hAnsi="Times New Roman" w:cs="Times New Roman"/>
          <w:b w:val="0"/>
          <w:bCs w:val="0"/>
          <w:snapToGrid w:val="0"/>
          <w:color w:val="auto"/>
          <w:kern w:val="0"/>
          <w:sz w:val="20"/>
        </w:rPr>
        <w:tab/>
      </w:r>
      <w:r>
        <w:rPr>
          <w:rFonts w:hint="default" w:ascii="Times New Roman" w:hAnsi="Times New Roman" w:cs="Times New Roman"/>
          <w:b w:val="0"/>
          <w:bCs w:val="0"/>
          <w:snapToGrid w:val="0"/>
          <w:color w:val="auto"/>
          <w:kern w:val="0"/>
          <w:sz w:val="20"/>
        </w:rPr>
        <w:t xml:space="preserve"> 　　                               </w:t>
      </w:r>
      <w:r>
        <w:rPr>
          <w:rFonts w:hint="eastAsia" w:ascii="仿宋_GB2312" w:hAnsi="仿宋_GB2312" w:eastAsia="仿宋_GB2312" w:cs="仿宋_GB2312"/>
          <w:b w:val="0"/>
          <w:bCs w:val="0"/>
          <w:snapToGrid w:val="0"/>
          <w:color w:val="auto"/>
          <w:kern w:val="0"/>
          <w:sz w:val="20"/>
        </w:rPr>
        <w:t>金额单位：万元</w:t>
      </w:r>
    </w:p>
    <w:tbl>
      <w:tblPr>
        <w:tblStyle w:val="8"/>
        <w:tblW w:w="14132" w:type="dxa"/>
        <w:jc w:val="center"/>
        <w:tblLayout w:type="fixed"/>
        <w:tblCellMar>
          <w:top w:w="0" w:type="dxa"/>
          <w:left w:w="108" w:type="dxa"/>
          <w:bottom w:w="0" w:type="dxa"/>
          <w:right w:w="108" w:type="dxa"/>
        </w:tblCellMar>
      </w:tblPr>
      <w:tblGrid>
        <w:gridCol w:w="1027"/>
        <w:gridCol w:w="2079"/>
        <w:gridCol w:w="810"/>
        <w:gridCol w:w="1060"/>
        <w:gridCol w:w="1596"/>
        <w:gridCol w:w="1560"/>
        <w:gridCol w:w="1575"/>
        <w:gridCol w:w="1380"/>
        <w:gridCol w:w="1461"/>
        <w:gridCol w:w="1584"/>
      </w:tblGrid>
      <w:tr>
        <w:tblPrEx>
          <w:tblCellMar>
            <w:top w:w="0" w:type="dxa"/>
            <w:left w:w="108" w:type="dxa"/>
            <w:bottom w:w="0" w:type="dxa"/>
            <w:right w:w="108" w:type="dxa"/>
          </w:tblCellMar>
        </w:tblPrEx>
        <w:trPr>
          <w:trHeight w:val="1117" w:hRule="atLeast"/>
          <w:jc w:val="center"/>
        </w:trPr>
        <w:tc>
          <w:tcPr>
            <w:tcW w:w="1413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填表说明：1.设备租赁费是指实施过程中需要租用承担单位以外其他单位的设备而发生的费用。租赁费主要包括设备的租金、安装调试费、维修保养费及其他相</w:t>
            </w:r>
          </w:p>
          <w:p>
            <w:pPr>
              <w:adjustRightInd w:val="0"/>
              <w:snapToGrid w:val="0"/>
              <w:spacing w:line="276" w:lineRule="auto"/>
              <w:ind w:firstLine="1200" w:firstLineChars="60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关费用等。</w:t>
            </w:r>
          </w:p>
          <w:p>
            <w:pPr>
              <w:adjustRightInd w:val="0"/>
              <w:snapToGrid w:val="0"/>
              <w:spacing w:line="276" w:lineRule="auto"/>
              <w:ind w:firstLine="1000" w:firstLineChars="500"/>
              <w:rPr>
                <w:rFonts w:ascii="宋体" w:hAnsi="宋体"/>
                <w:color w:val="auto"/>
                <w:kern w:val="0"/>
                <w:sz w:val="20"/>
                <w:szCs w:val="20"/>
              </w:rPr>
            </w:pPr>
            <w:r>
              <w:rPr>
                <w:rFonts w:hint="eastAsia" w:ascii="楷体_GB2312" w:hAnsi="楷体_GB2312" w:eastAsia="楷体_GB2312" w:cs="楷体_GB2312"/>
                <w:color w:val="auto"/>
                <w:sz w:val="20"/>
                <w:szCs w:val="20"/>
              </w:rPr>
              <w:t>2.资金来源：省级财政专项资金、其他渠道资金。</w:t>
            </w:r>
          </w:p>
        </w:tc>
      </w:tr>
      <w:tr>
        <w:tblPrEx>
          <w:tblCellMar>
            <w:top w:w="0" w:type="dxa"/>
            <w:left w:w="108" w:type="dxa"/>
            <w:bottom w:w="0" w:type="dxa"/>
            <w:right w:w="108" w:type="dxa"/>
          </w:tblCellMar>
        </w:tblPrEx>
        <w:trPr>
          <w:trHeight w:val="111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年度</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出租单位</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租金单价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（万元/月）</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（台、套）</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租期</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1</w:t>
            </w:r>
          </w:p>
        </w:tc>
        <w:tc>
          <w:tcPr>
            <w:tcW w:w="2079"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81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6"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6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2</w:t>
            </w:r>
          </w:p>
        </w:tc>
        <w:tc>
          <w:tcPr>
            <w:tcW w:w="2079" w:type="dxa"/>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81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6"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6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nil"/>
              <w:left w:val="nil"/>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hint="eastAsia" w:ascii="仿宋_GB2312" w:hAnsi="仿宋_GB2312" w:eastAsia="仿宋_GB2312" w:cs="仿宋_GB2312"/>
                <w:color w:val="auto"/>
                <w:kern w:val="0"/>
                <w:sz w:val="20"/>
                <w:szCs w:val="20"/>
              </w:rPr>
            </w:pPr>
          </w:p>
        </w:tc>
      </w:tr>
      <w:tr>
        <w:tblPrEx>
          <w:tblCellMar>
            <w:top w:w="0" w:type="dxa"/>
            <w:left w:w="108" w:type="dxa"/>
            <w:bottom w:w="0" w:type="dxa"/>
            <w:right w:w="108" w:type="dxa"/>
          </w:tblCellMar>
        </w:tblPrEx>
        <w:trPr>
          <w:trHeight w:val="375" w:hRule="atLeast"/>
          <w:jc w:val="center"/>
        </w:trPr>
        <w:tc>
          <w:tcPr>
            <w:tcW w:w="657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累计</w:t>
            </w:r>
          </w:p>
        </w:tc>
        <w:tc>
          <w:tcPr>
            <w:tcW w:w="1560"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75"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0"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r>
    </w:tbl>
    <w:p>
      <w:pPr>
        <w:ind w:firstLine="536"/>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djustRightInd w:val="0"/>
        <w:snapToGrid w:val="0"/>
        <w:spacing w:line="560" w:lineRule="exact"/>
        <w:ind w:firstLine="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材料费预算明细表</w:t>
      </w:r>
    </w:p>
    <w:p>
      <w:pPr>
        <w:adjustRightInd w:val="0"/>
        <w:snapToGrid w:val="0"/>
        <w:spacing w:line="400" w:lineRule="exact"/>
        <w:ind w:firstLine="0"/>
        <w:jc w:val="center"/>
        <w:rPr>
          <w:rFonts w:hint="eastAsia" w:ascii="方正小标宋简体" w:hAnsi="方正小标宋简体" w:eastAsia="方正小标宋简体" w:cs="方正小标宋简体"/>
          <w:b w:val="0"/>
          <w:bCs w:val="0"/>
          <w:color w:val="auto"/>
          <w:sz w:val="44"/>
          <w:szCs w:val="44"/>
        </w:rPr>
      </w:pPr>
    </w:p>
    <w:p>
      <w:pPr>
        <w:autoSpaceDE/>
        <w:autoSpaceDN/>
        <w:adjustRightInd w:val="0"/>
        <w:snapToGrid w:val="0"/>
        <w:spacing w:line="560" w:lineRule="exact"/>
        <w:ind w:firstLine="200" w:firstLineChars="100"/>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 xml:space="preserve">表B6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8"/>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94"/>
        <w:gridCol w:w="1556"/>
        <w:gridCol w:w="1753"/>
        <w:gridCol w:w="1415"/>
        <w:gridCol w:w="1326"/>
        <w:gridCol w:w="151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11" w:type="dxa"/>
            <w:gridSpan w:val="8"/>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填表说明：1.大宗及贵重材料，即执行过程中消耗数量较多或单位价格较高、总费用在10万元及以上的材料，须填写明细。</w:t>
            </w:r>
          </w:p>
          <w:p>
            <w:pPr>
              <w:keepNext w:val="0"/>
              <w:keepLines w:val="0"/>
              <w:pageBreakBefore w:val="0"/>
              <w:widowControl w:val="0"/>
              <w:kinsoku/>
              <w:wordWrap/>
              <w:overflowPunct/>
              <w:topLinePunct w:val="0"/>
              <w:autoSpaceDE/>
              <w:autoSpaceDN/>
              <w:bidi w:val="0"/>
              <w:adjustRightInd w:val="0"/>
              <w:snapToGrid w:val="0"/>
              <w:spacing w:line="240" w:lineRule="auto"/>
              <w:ind w:firstLine="1000" w:firstLineChars="500"/>
              <w:textAlignment w:val="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2.资金来源：省级财政专项资金、其他渠道资金。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restart"/>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材料名称</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购置数量</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1</w:t>
            </w:r>
          </w:p>
        </w:tc>
        <w:tc>
          <w:tcPr>
            <w:tcW w:w="3294" w:type="dxa"/>
            <w:noWrap w:val="0"/>
            <w:vAlign w:val="center"/>
          </w:tcPr>
          <w:p>
            <w:pPr>
              <w:pStyle w:val="5"/>
              <w:keepNext w:val="0"/>
              <w:keepLines w:val="0"/>
              <w:pageBreakBefore w:val="0"/>
              <w:widowControl w:val="0"/>
              <w:kinsoku/>
              <w:wordWrap/>
              <w:overflowPunct/>
              <w:topLinePunct w:val="0"/>
              <w:autoSpaceDE/>
              <w:autoSpaceDN/>
              <w:bidi w:val="0"/>
              <w:snapToGrid w:val="0"/>
              <w:spacing w:line="240" w:lineRule="auto"/>
              <w:ind w:left="-80" w:leftChars="-25" w:right="-80" w:rightChars="-25"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2</w:t>
            </w:r>
          </w:p>
        </w:tc>
        <w:tc>
          <w:tcPr>
            <w:tcW w:w="3294" w:type="dxa"/>
            <w:noWrap w:val="0"/>
            <w:vAlign w:val="center"/>
          </w:tcPr>
          <w:p>
            <w:pPr>
              <w:pStyle w:val="5"/>
              <w:keepNext w:val="0"/>
              <w:keepLines w:val="0"/>
              <w:pageBreakBefore w:val="0"/>
              <w:widowControl w:val="0"/>
              <w:kinsoku/>
              <w:wordWrap/>
              <w:overflowPunct/>
              <w:topLinePunct w:val="0"/>
              <w:autoSpaceDE/>
              <w:autoSpaceDN/>
              <w:bidi w:val="0"/>
              <w:snapToGrid w:val="0"/>
              <w:spacing w:line="240" w:lineRule="auto"/>
              <w:ind w:left="-80" w:leftChars="-25" w:right="-80" w:rightChars="-25"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3</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4</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5</w:t>
            </w:r>
          </w:p>
        </w:tc>
        <w:tc>
          <w:tcPr>
            <w:tcW w:w="329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大宗及贵重材料小计</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其他材料费</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累计</w:t>
            </w:r>
          </w:p>
        </w:tc>
        <w:tc>
          <w:tcPr>
            <w:tcW w:w="155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75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bl>
    <w:p>
      <w:pPr>
        <w:ind w:firstLine="616"/>
        <w:rPr>
          <w:color w:val="auto"/>
        </w:rPr>
      </w:pPr>
    </w:p>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测试化验加工费预算明细表</w:t>
      </w:r>
    </w:p>
    <w:p>
      <w:pPr>
        <w:autoSpaceDE w:val="0"/>
        <w:autoSpaceDN w:val="0"/>
        <w:adjustRightInd w:val="0"/>
        <w:snapToGrid w:val="0"/>
        <w:spacing w:line="400" w:lineRule="exact"/>
        <w:ind w:firstLine="536"/>
        <w:jc w:val="center"/>
        <w:rPr>
          <w:rFonts w:ascii="黑体" w:hAnsi="黑体" w:eastAsia="黑体"/>
          <w:color w:val="auto"/>
          <w:sz w:val="28"/>
          <w:szCs w:val="28"/>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 xml:space="preserve">表B7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8"/>
        <w:tblW w:w="13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28"/>
        <w:gridCol w:w="4198"/>
        <w:gridCol w:w="2734"/>
        <w:gridCol w:w="993"/>
        <w:gridCol w:w="1584"/>
        <w:gridCol w:w="1218"/>
        <w:gridCol w:w="1034"/>
        <w:gridCol w:w="15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75" w:hRule="atLeast"/>
          <w:jc w:val="center"/>
        </w:trPr>
        <w:tc>
          <w:tcPr>
            <w:tcW w:w="13790" w:type="dxa"/>
            <w:gridSpan w:val="8"/>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color w:val="auto"/>
                <w:sz w:val="20"/>
                <w:szCs w:val="20"/>
              </w:rPr>
            </w:pPr>
            <w:r>
              <w:rPr>
                <w:rFonts w:hint="eastAsia" w:eastAsia="楷体_GB2312"/>
                <w:color w:val="auto"/>
                <w:sz w:val="20"/>
                <w:szCs w:val="20"/>
              </w:rPr>
              <w:t>填</w:t>
            </w:r>
            <w:r>
              <w:rPr>
                <w:rFonts w:hint="eastAsia" w:ascii="楷体_GB2312" w:hAnsi="楷体_GB2312" w:eastAsia="楷体_GB2312" w:cs="楷体_GB2312"/>
                <w:color w:val="auto"/>
                <w:sz w:val="20"/>
                <w:szCs w:val="20"/>
              </w:rPr>
              <w:t>表说明：1.量大及价高测试化验，是指实施过程中需测试化验加工的数量较多或单位价格较高、总费用在10万元（含）以上的测试化验加工，需填写明细。</w:t>
            </w:r>
          </w:p>
          <w:p>
            <w:pPr>
              <w:keepNext w:val="0"/>
              <w:keepLines w:val="0"/>
              <w:pageBreakBefore w:val="0"/>
              <w:widowControl w:val="0"/>
              <w:kinsoku/>
              <w:wordWrap/>
              <w:overflowPunct/>
              <w:topLinePunct w:val="0"/>
              <w:bidi w:val="0"/>
              <w:adjustRightInd w:val="0"/>
              <w:snapToGrid w:val="0"/>
              <w:spacing w:line="240" w:lineRule="auto"/>
              <w:ind w:firstLine="1000" w:firstLineChars="500"/>
              <w:jc w:val="both"/>
              <w:textAlignment w:val="auto"/>
              <w:rPr>
                <w:rFonts w:ascii="宋体" w:hAnsi="宋体"/>
                <w:color w:val="auto"/>
                <w:sz w:val="20"/>
                <w:szCs w:val="20"/>
              </w:rPr>
            </w:pPr>
            <w:r>
              <w:rPr>
                <w:rFonts w:hint="eastAsia" w:ascii="楷体_GB2312" w:hAnsi="楷体_GB2312" w:eastAsia="楷体_GB2312" w:cs="楷体_GB2312"/>
                <w:color w:val="auto"/>
                <w:sz w:val="20"/>
                <w:szCs w:val="20"/>
              </w:rPr>
              <w:t>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528" w:type="dxa"/>
            <w:vMerge w:val="restart"/>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4198"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测试化验加工的内容</w:t>
            </w:r>
          </w:p>
        </w:tc>
        <w:tc>
          <w:tcPr>
            <w:tcW w:w="2734"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测试化验加工单位</w:t>
            </w:r>
          </w:p>
        </w:tc>
        <w:tc>
          <w:tcPr>
            <w:tcW w:w="993"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84"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218"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034"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01" w:type="dxa"/>
            <w:tcBorders>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41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5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量大及价高测试化验费合计</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其他测试化验费</w:t>
            </w:r>
            <w:r>
              <w:rPr>
                <w:rFonts w:hint="eastAsia" w:ascii="仿宋_GB2312" w:hAnsi="仿宋_GB2312" w:eastAsia="仿宋_GB2312" w:cs="仿宋_GB2312"/>
                <w:b/>
                <w:bCs/>
                <w:color w:val="auto"/>
                <w:kern w:val="0"/>
                <w:sz w:val="20"/>
                <w:szCs w:val="20"/>
              </w:rPr>
              <w:t>合计</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累计</w:t>
            </w:r>
          </w:p>
        </w:tc>
        <w:tc>
          <w:tcPr>
            <w:tcW w:w="121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bl>
    <w:p>
      <w:pPr>
        <w:snapToGrid w:val="0"/>
        <w:spacing w:line="360" w:lineRule="auto"/>
        <w:ind w:firstLine="536"/>
        <w:rPr>
          <w:rFonts w:eastAsia="仿宋_GB2312"/>
          <w:color w:val="auto"/>
          <w:sz w:val="28"/>
        </w:rPr>
      </w:pPr>
    </w:p>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燃料动力费预算明细表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 xml:space="preserve">表B8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仿宋_GB2312" w:hAnsi="仿宋_GB2312" w:eastAsia="仿宋_GB2312" w:cs="仿宋_GB2312"/>
          <w:b w:val="0"/>
          <w:bCs w:val="0"/>
          <w:color w:val="auto"/>
          <w:sz w:val="20"/>
        </w:rPr>
        <w:t>金额单位：万元</w:t>
      </w:r>
    </w:p>
    <w:tbl>
      <w:tblPr>
        <w:tblStyle w:val="8"/>
        <w:tblW w:w="132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51"/>
        <w:gridCol w:w="2963"/>
        <w:gridCol w:w="1228"/>
        <w:gridCol w:w="1988"/>
        <w:gridCol w:w="1609"/>
        <w:gridCol w:w="1526"/>
        <w:gridCol w:w="1483"/>
        <w:gridCol w:w="15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3266" w:type="dxa"/>
            <w:gridSpan w:val="8"/>
            <w:noWrap w:val="0"/>
            <w:vAlign w:val="top"/>
          </w:tcPr>
          <w:p>
            <w:pPr>
              <w:keepNext w:val="0"/>
              <w:keepLines w:val="0"/>
              <w:pageBreakBefore w:val="0"/>
              <w:widowControl w:val="0"/>
              <w:kinsoku/>
              <w:wordWrap/>
              <w:overflowPunct/>
              <w:topLinePunct w:val="0"/>
              <w:autoSpaceDE/>
              <w:autoSpaceDN/>
              <w:bidi w:val="0"/>
              <w:adjustRightInd w:val="0"/>
              <w:snapToGrid w:val="0"/>
              <w:spacing w:line="276" w:lineRule="auto"/>
              <w:ind w:left="1200" w:leftChars="0" w:hanging="1200" w:hangingChars="600"/>
              <w:textAlignment w:val="auto"/>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 xml:space="preserve">填表说明：1.量大及价高测试化验，是指实施过程中需测试化验加工的数量较多或单位价格较高、总费用在10万元（含）以上的测试化验加工，需填写明细。 </w:t>
            </w:r>
          </w:p>
          <w:p>
            <w:pPr>
              <w:adjustRightInd w:val="0"/>
              <w:snapToGrid w:val="0"/>
              <w:spacing w:line="276" w:lineRule="auto"/>
              <w:rPr>
                <w:rFonts w:ascii="宋体" w:hAnsi="宋体"/>
                <w:color w:val="auto"/>
                <w:sz w:val="20"/>
                <w:szCs w:val="20"/>
              </w:rPr>
            </w:pPr>
            <w:r>
              <w:rPr>
                <w:rFonts w:hint="eastAsia" w:ascii="楷体_GB2312" w:hAnsi="楷体_GB2312" w:eastAsia="楷体_GB2312" w:cs="楷体_GB2312"/>
                <w:color w:val="auto"/>
                <w:sz w:val="20"/>
                <w:szCs w:val="20"/>
              </w:rPr>
              <w:t xml:space="preserve">    </w:t>
            </w:r>
            <w:r>
              <w:rPr>
                <w:rFonts w:hint="eastAsia" w:ascii="楷体_GB2312" w:hAnsi="楷体_GB2312" w:eastAsia="楷体_GB2312" w:cs="楷体_GB2312"/>
                <w:color w:val="auto"/>
                <w:sz w:val="20"/>
                <w:szCs w:val="20"/>
                <w:lang w:val="en-US" w:eastAsia="zh-CN"/>
              </w:rPr>
              <w:t xml:space="preserve"> </w:t>
            </w:r>
            <w:r>
              <w:rPr>
                <w:rFonts w:hint="eastAsia" w:ascii="楷体_GB2312" w:hAnsi="楷体_GB2312" w:eastAsia="楷体_GB2312" w:cs="楷体_GB2312"/>
                <w:color w:val="auto"/>
                <w:sz w:val="20"/>
                <w:szCs w:val="20"/>
              </w:rPr>
              <w:t xml:space="preserve">     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3" w:hRule="atLeast"/>
          <w:jc w:val="center"/>
        </w:trPr>
        <w:tc>
          <w:tcPr>
            <w:tcW w:w="951" w:type="dxa"/>
            <w:vMerge w:val="restart"/>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63"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燃料动力名称</w:t>
            </w:r>
          </w:p>
        </w:tc>
        <w:tc>
          <w:tcPr>
            <w:tcW w:w="122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98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609"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26"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483"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18" w:type="dxa"/>
            <w:tcBorders>
              <w:bottom w:val="single" w:color="auto" w:sz="6"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63"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22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98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609"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526"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483"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1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p>
        </w:tc>
        <w:tc>
          <w:tcPr>
            <w:tcW w:w="1518" w:type="dxa"/>
            <w:noWrap w:val="0"/>
            <w:vAlign w:val="top"/>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p>
        </w:tc>
        <w:tc>
          <w:tcPr>
            <w:tcW w:w="1518" w:type="dxa"/>
            <w:noWrap w:val="0"/>
            <w:vAlign w:val="top"/>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p>
        </w:tc>
        <w:tc>
          <w:tcPr>
            <w:tcW w:w="1518" w:type="dxa"/>
            <w:noWrap w:val="0"/>
            <w:vAlign w:val="top"/>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p>
        </w:tc>
        <w:tc>
          <w:tcPr>
            <w:tcW w:w="1518" w:type="dxa"/>
            <w:noWrap w:val="0"/>
            <w:vAlign w:val="top"/>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8739" w:type="dxa"/>
            <w:gridSpan w:val="5"/>
            <w:noWrap w:val="0"/>
            <w:vAlign w:val="center"/>
          </w:tcPr>
          <w:p>
            <w:pPr>
              <w:autoSpaceDE w:val="0"/>
              <w:autoSpaceDN w:val="0"/>
              <w:adjustRightInd w:val="0"/>
              <w:snapToGrid w:val="0"/>
              <w:jc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累计</w:t>
            </w: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b/>
                <w:bCs/>
                <w:color w:val="auto"/>
                <w:sz w:val="20"/>
                <w:szCs w:val="20"/>
              </w:rPr>
            </w:pPr>
          </w:p>
        </w:tc>
        <w:tc>
          <w:tcPr>
            <w:tcW w:w="1483" w:type="dxa"/>
            <w:noWrap w:val="0"/>
            <w:vAlign w:val="top"/>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w:t>
            </w:r>
          </w:p>
        </w:tc>
        <w:tc>
          <w:tcPr>
            <w:tcW w:w="1518" w:type="dxa"/>
            <w:noWrap w:val="0"/>
            <w:vAlign w:val="top"/>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出版/文献/信息传播/知识产权事务费预算明细表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 xml:space="preserve">表B9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lang w:val="en-US" w:eastAsia="zh-CN"/>
        </w:rPr>
        <w:t xml:space="preserve">                     </w:t>
      </w:r>
      <w:r>
        <w:rPr>
          <w:rFonts w:hint="eastAsia" w:ascii="仿宋_GB2312" w:hAnsi="仿宋_GB2312" w:eastAsia="仿宋_GB2312" w:cs="仿宋_GB2312"/>
          <w:b w:val="0"/>
          <w:bCs w:val="0"/>
          <w:color w:val="auto"/>
          <w:sz w:val="20"/>
          <w:lang w:val="en-US" w:eastAsia="zh-CN"/>
        </w:rPr>
        <w:t xml:space="preserve">  </w:t>
      </w:r>
      <w:r>
        <w:rPr>
          <w:rFonts w:hint="eastAsia" w:ascii="仿宋_GB2312" w:hAnsi="仿宋_GB2312" w:eastAsia="仿宋_GB2312" w:cs="仿宋_GB2312"/>
          <w:b w:val="0"/>
          <w:bCs w:val="0"/>
          <w:color w:val="auto"/>
          <w:sz w:val="20"/>
        </w:rPr>
        <w:t xml:space="preserve">  金额单位：万元</w:t>
      </w:r>
    </w:p>
    <w:tbl>
      <w:tblPr>
        <w:tblStyle w:val="8"/>
        <w:tblW w:w="13890" w:type="dxa"/>
        <w:jc w:val="center"/>
        <w:tblLayout w:type="fixed"/>
        <w:tblCellMar>
          <w:top w:w="0" w:type="dxa"/>
          <w:left w:w="108" w:type="dxa"/>
          <w:bottom w:w="0" w:type="dxa"/>
          <w:right w:w="108" w:type="dxa"/>
        </w:tblCellMar>
      </w:tblPr>
      <w:tblGrid>
        <w:gridCol w:w="778"/>
        <w:gridCol w:w="1950"/>
        <w:gridCol w:w="1060"/>
        <w:gridCol w:w="1595"/>
        <w:gridCol w:w="1575"/>
        <w:gridCol w:w="1380"/>
        <w:gridCol w:w="1265"/>
        <w:gridCol w:w="1119"/>
        <w:gridCol w:w="1584"/>
        <w:gridCol w:w="1584"/>
      </w:tblGrid>
      <w:tr>
        <w:tblPrEx>
          <w:tblCellMar>
            <w:top w:w="0" w:type="dxa"/>
            <w:left w:w="108" w:type="dxa"/>
            <w:bottom w:w="0" w:type="dxa"/>
            <w:right w:w="108" w:type="dxa"/>
          </w:tblCellMar>
        </w:tblPrEx>
        <w:trPr>
          <w:trHeight w:val="697" w:hRule="atLeast"/>
          <w:jc w:val="center"/>
        </w:trPr>
        <w:tc>
          <w:tcPr>
            <w:tcW w:w="13890"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both"/>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名称</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国内/国外             　</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1</w:t>
            </w:r>
          </w:p>
        </w:tc>
        <w:tc>
          <w:tcPr>
            <w:tcW w:w="195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5"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265"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119"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2</w:t>
            </w:r>
          </w:p>
        </w:tc>
        <w:tc>
          <w:tcPr>
            <w:tcW w:w="1950"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95"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575"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380"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w:t>
            </w:r>
          </w:p>
        </w:tc>
        <w:tc>
          <w:tcPr>
            <w:tcW w:w="1265" w:type="dxa"/>
            <w:tcBorders>
              <w:top w:val="nil"/>
              <w:left w:val="nil"/>
              <w:bottom w:val="single" w:color="auto" w:sz="4" w:space="0"/>
              <w:right w:val="single" w:color="auto" w:sz="4" w:space="0"/>
            </w:tcBorders>
            <w:noWrap w:val="0"/>
            <w:vAlign w:val="center"/>
          </w:tcPr>
          <w:p>
            <w:pPr>
              <w:adjustRightInd w:val="0"/>
              <w:snapToGrid w:val="0"/>
              <w:spacing w:line="276" w:lineRule="auto"/>
              <w:rPr>
                <w:rFonts w:hint="eastAsia" w:ascii="仿宋_GB2312" w:hAnsi="仿宋_GB2312" w:eastAsia="仿宋_GB2312" w:cs="仿宋_GB2312"/>
                <w:color w:val="auto"/>
                <w:kern w:val="0"/>
                <w:sz w:val="20"/>
                <w:szCs w:val="20"/>
              </w:rPr>
            </w:pPr>
          </w:p>
        </w:tc>
        <w:tc>
          <w:tcPr>
            <w:tcW w:w="1119" w:type="dxa"/>
            <w:tcBorders>
              <w:top w:val="nil"/>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960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bCs/>
                <w:color w:val="auto"/>
                <w:kern w:val="0"/>
                <w:sz w:val="20"/>
                <w:szCs w:val="20"/>
              </w:rPr>
              <w:t>累计</w:t>
            </w:r>
          </w:p>
        </w:tc>
        <w:tc>
          <w:tcPr>
            <w:tcW w:w="1119"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4" w:type="dxa"/>
            <w:tcBorders>
              <w:top w:val="nil"/>
              <w:left w:val="nil"/>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会议/差旅/国际合作交流费-会议费预算明细表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 xml:space="preserve">表B10 </w:t>
      </w:r>
      <w:r>
        <w:rPr>
          <w:rFonts w:hint="default" w:ascii="Times New Roman" w:hAnsi="Times New Roman" w:cs="Times New Roman"/>
          <w:b w:val="0"/>
          <w:bCs w:val="0"/>
          <w:color w:val="auto"/>
          <w:sz w:val="20"/>
        </w:rPr>
        <w:t xml:space="preserve"> </w:t>
      </w:r>
      <w:r>
        <w:rPr>
          <w:rFonts w:hint="eastAsia" w:ascii="Times New Roman" w:hAnsi="Times New Roman" w:cs="Times New Roman"/>
          <w:b w:val="0"/>
          <w:bCs w:val="0"/>
          <w:color w:val="auto"/>
          <w:sz w:val="20"/>
          <w:lang w:val="en-US" w:eastAsia="zh-CN"/>
        </w:rPr>
        <w:t xml:space="preserve">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eastAsia" w:ascii="Times New Roman" w:hAnsi="Times New Roman" w:cs="Times New Roman"/>
          <w:b w:val="0"/>
          <w:bCs w:val="0"/>
          <w:color w:val="auto"/>
          <w:sz w:val="20"/>
          <w:lang w:val="en-US" w:eastAsia="zh-CN"/>
        </w:rPr>
        <w:t xml:space="preserve">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eastAsia" w:ascii="Times New Roman" w:hAnsi="Times New Roman" w:cs="Times New Roman"/>
          <w:b w:val="0"/>
          <w:bCs w:val="0"/>
          <w:color w:val="auto"/>
          <w:sz w:val="20"/>
          <w:lang w:val="en-US" w:eastAsia="zh-CN"/>
        </w:rPr>
        <w:t xml:space="preserve">         </w:t>
      </w:r>
      <w:r>
        <w:rPr>
          <w:rFonts w:hint="eastAsia" w:ascii="仿宋_GB2312" w:hAnsi="仿宋_GB2312" w:eastAsia="仿宋_GB2312" w:cs="仿宋_GB2312"/>
          <w:b w:val="0"/>
          <w:bCs w:val="0"/>
          <w:color w:val="auto"/>
          <w:sz w:val="20"/>
        </w:rPr>
        <w:t xml:space="preserve">    金额单位：万元</w:t>
      </w:r>
    </w:p>
    <w:tbl>
      <w:tblPr>
        <w:tblStyle w:val="8"/>
        <w:tblW w:w="13671" w:type="dxa"/>
        <w:jc w:val="center"/>
        <w:tblLayout w:type="fixed"/>
        <w:tblCellMar>
          <w:top w:w="0" w:type="dxa"/>
          <w:left w:w="108" w:type="dxa"/>
          <w:bottom w:w="0" w:type="dxa"/>
          <w:right w:w="108" w:type="dxa"/>
        </w:tblCellMar>
      </w:tblPr>
      <w:tblGrid>
        <w:gridCol w:w="778"/>
        <w:gridCol w:w="1436"/>
        <w:gridCol w:w="1595"/>
        <w:gridCol w:w="1560"/>
        <w:gridCol w:w="1575"/>
        <w:gridCol w:w="1380"/>
        <w:gridCol w:w="1264"/>
        <w:gridCol w:w="1111"/>
        <w:gridCol w:w="1387"/>
        <w:gridCol w:w="1585"/>
      </w:tblGrid>
      <w:tr>
        <w:tblPrEx>
          <w:tblCellMar>
            <w:top w:w="0" w:type="dxa"/>
            <w:left w:w="108" w:type="dxa"/>
            <w:bottom w:w="0" w:type="dxa"/>
            <w:right w:w="108" w:type="dxa"/>
          </w:tblCellMar>
        </w:tblPrEx>
        <w:trPr>
          <w:trHeight w:val="697" w:hRule="atLeast"/>
          <w:jc w:val="center"/>
        </w:trPr>
        <w:tc>
          <w:tcPr>
            <w:tcW w:w="13671"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会议名称</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召开地点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会期</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403" w:hRule="atLeast"/>
          <w:jc w:val="center"/>
        </w:trPr>
        <w:tc>
          <w:tcPr>
            <w:tcW w:w="536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会议/差旅/国际合作交流费-差旅费预算明细表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jc w:val="both"/>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表B11</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b w:val="0"/>
          <w:bCs w:val="0"/>
          <w:color w:val="auto"/>
          <w:sz w:val="20"/>
          <w:lang w:val="en-US" w:eastAsia="zh-CN"/>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8"/>
        <w:tblW w:w="13900" w:type="dxa"/>
        <w:jc w:val="center"/>
        <w:tblLayout w:type="fixed"/>
        <w:tblCellMar>
          <w:top w:w="0" w:type="dxa"/>
          <w:left w:w="108" w:type="dxa"/>
          <w:bottom w:w="0" w:type="dxa"/>
          <w:right w:w="108" w:type="dxa"/>
        </w:tblCellMar>
      </w:tblPr>
      <w:tblGrid>
        <w:gridCol w:w="544"/>
        <w:gridCol w:w="1268"/>
        <w:gridCol w:w="1146"/>
        <w:gridCol w:w="1290"/>
        <w:gridCol w:w="6"/>
        <w:gridCol w:w="1185"/>
        <w:gridCol w:w="6"/>
        <w:gridCol w:w="1714"/>
        <w:gridCol w:w="6"/>
        <w:gridCol w:w="921"/>
        <w:gridCol w:w="6"/>
        <w:gridCol w:w="1055"/>
        <w:gridCol w:w="6"/>
        <w:gridCol w:w="1150"/>
        <w:gridCol w:w="6"/>
        <w:gridCol w:w="970"/>
        <w:gridCol w:w="1300"/>
        <w:gridCol w:w="6"/>
        <w:gridCol w:w="1315"/>
      </w:tblGrid>
      <w:tr>
        <w:tblPrEx>
          <w:tblCellMar>
            <w:top w:w="0" w:type="dxa"/>
            <w:left w:w="108" w:type="dxa"/>
            <w:bottom w:w="0" w:type="dxa"/>
            <w:right w:w="108" w:type="dxa"/>
          </w:tblCellMar>
        </w:tblPrEx>
        <w:trPr>
          <w:trHeight w:val="839" w:hRule="atLeast"/>
          <w:jc w:val="center"/>
        </w:trPr>
        <w:tc>
          <w:tcPr>
            <w:tcW w:w="13900"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54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目的</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地点            　</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往返交通费</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住宿费</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伙食、工杂费补助</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天数/次</w:t>
            </w: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次数/次</w:t>
            </w: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54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（10）</w:t>
            </w: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（11）</w:t>
            </w:r>
          </w:p>
        </w:tc>
      </w:tr>
      <w:tr>
        <w:tblPrEx>
          <w:tblCellMar>
            <w:top w:w="0" w:type="dxa"/>
            <w:left w:w="108" w:type="dxa"/>
            <w:bottom w:w="0" w:type="dxa"/>
            <w:right w:w="108" w:type="dxa"/>
          </w:tblCellMar>
        </w:tblPrEx>
        <w:trPr>
          <w:trHeight w:val="40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425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累计</w:t>
            </w:r>
          </w:p>
        </w:tc>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会议/差旅/国际合作交流费-国际合作交流费预算明细表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表B12</w:t>
      </w:r>
      <w:r>
        <w:rPr>
          <w:rFonts w:hint="eastAsia"/>
          <w:b w:val="0"/>
          <w:bCs w:val="0"/>
          <w:color w:val="auto"/>
          <w:sz w:val="20"/>
        </w:rPr>
        <w:t xml:space="preserve">  </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rFonts w:hint="eastAsia" w:ascii="仿宋_GB2312" w:hAnsi="仿宋_GB2312" w:eastAsia="仿宋_GB2312" w:cs="仿宋_GB2312"/>
          <w:b/>
          <w:bCs/>
          <w:color w:val="auto"/>
          <w:sz w:val="20"/>
        </w:rPr>
        <w:t xml:space="preserve"> </w:t>
      </w:r>
      <w:r>
        <w:rPr>
          <w:rFonts w:hint="eastAsia" w:ascii="仿宋_GB2312" w:hAnsi="仿宋_GB2312" w:eastAsia="仿宋_GB2312" w:cs="仿宋_GB2312"/>
          <w:b w:val="0"/>
          <w:bCs w:val="0"/>
          <w:color w:val="auto"/>
          <w:sz w:val="20"/>
        </w:rPr>
        <w:t>金额单位：万元</w:t>
      </w:r>
    </w:p>
    <w:tbl>
      <w:tblPr>
        <w:tblStyle w:val="8"/>
        <w:tblW w:w="13544" w:type="dxa"/>
        <w:jc w:val="center"/>
        <w:tblLayout w:type="fixed"/>
        <w:tblCellMar>
          <w:top w:w="0" w:type="dxa"/>
          <w:left w:w="108" w:type="dxa"/>
          <w:bottom w:w="0" w:type="dxa"/>
          <w:right w:w="108" w:type="dxa"/>
        </w:tblCellMar>
      </w:tblPr>
      <w:tblGrid>
        <w:gridCol w:w="778"/>
        <w:gridCol w:w="1436"/>
        <w:gridCol w:w="1595"/>
        <w:gridCol w:w="1560"/>
        <w:gridCol w:w="1271"/>
        <w:gridCol w:w="1380"/>
        <w:gridCol w:w="1264"/>
        <w:gridCol w:w="1397"/>
        <w:gridCol w:w="1387"/>
        <w:gridCol w:w="1476"/>
      </w:tblGrid>
      <w:tr>
        <w:tblPrEx>
          <w:tblCellMar>
            <w:top w:w="0" w:type="dxa"/>
            <w:left w:w="108" w:type="dxa"/>
            <w:bottom w:w="0" w:type="dxa"/>
            <w:right w:w="108" w:type="dxa"/>
          </w:tblCellMar>
        </w:tblPrEx>
        <w:trPr>
          <w:trHeight w:val="697" w:hRule="atLeast"/>
          <w:jc w:val="center"/>
        </w:trPr>
        <w:tc>
          <w:tcPr>
            <w:tcW w:w="13544"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合作交流类型</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国家和地区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接待机构</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时间</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36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培训费预算明细表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3</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8"/>
        <w:tblW w:w="13554" w:type="dxa"/>
        <w:jc w:val="center"/>
        <w:tblLayout w:type="fixed"/>
        <w:tblCellMar>
          <w:top w:w="0" w:type="dxa"/>
          <w:left w:w="108" w:type="dxa"/>
          <w:bottom w:w="0" w:type="dxa"/>
          <w:right w:w="108" w:type="dxa"/>
        </w:tblCellMar>
      </w:tblPr>
      <w:tblGrid>
        <w:gridCol w:w="778"/>
        <w:gridCol w:w="1436"/>
        <w:gridCol w:w="1316"/>
        <w:gridCol w:w="1500"/>
        <w:gridCol w:w="1567"/>
        <w:gridCol w:w="1428"/>
        <w:gridCol w:w="1260"/>
        <w:gridCol w:w="1484"/>
        <w:gridCol w:w="1207"/>
        <w:gridCol w:w="1578"/>
      </w:tblGrid>
      <w:tr>
        <w:tblPrEx>
          <w:tblCellMar>
            <w:top w:w="0" w:type="dxa"/>
            <w:left w:w="108" w:type="dxa"/>
            <w:bottom w:w="0" w:type="dxa"/>
            <w:right w:w="108" w:type="dxa"/>
          </w:tblCellMar>
        </w:tblPrEx>
        <w:trPr>
          <w:trHeight w:val="697" w:hRule="atLeast"/>
          <w:jc w:val="center"/>
        </w:trPr>
        <w:tc>
          <w:tcPr>
            <w:tcW w:w="13554"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培训名称</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召开地点            　</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培训会期</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03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劳务费预算明细表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4</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8"/>
        <w:tblW w:w="13403" w:type="dxa"/>
        <w:jc w:val="center"/>
        <w:tblLayout w:type="fixed"/>
        <w:tblCellMar>
          <w:top w:w="0" w:type="dxa"/>
          <w:left w:w="108" w:type="dxa"/>
          <w:bottom w:w="0" w:type="dxa"/>
          <w:right w:w="108" w:type="dxa"/>
        </w:tblCellMar>
      </w:tblPr>
      <w:tblGrid>
        <w:gridCol w:w="838"/>
        <w:gridCol w:w="2319"/>
        <w:gridCol w:w="1595"/>
        <w:gridCol w:w="1561"/>
        <w:gridCol w:w="1575"/>
        <w:gridCol w:w="1380"/>
        <w:gridCol w:w="1276"/>
        <w:gridCol w:w="1266"/>
        <w:gridCol w:w="1593"/>
      </w:tblGrid>
      <w:tr>
        <w:tblPrEx>
          <w:tblCellMar>
            <w:top w:w="0" w:type="dxa"/>
            <w:left w:w="108" w:type="dxa"/>
            <w:bottom w:w="0" w:type="dxa"/>
            <w:right w:w="108" w:type="dxa"/>
          </w:tblCellMar>
        </w:tblPrEx>
        <w:trPr>
          <w:trHeight w:val="448" w:hRule="atLeast"/>
          <w:jc w:val="center"/>
        </w:trPr>
        <w:tc>
          <w:tcPr>
            <w:tcW w:w="13403"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（元/月）           　</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其中：人均社会保险标准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（元/人月）</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工作月数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63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专家咨询费预算明细表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5</w:t>
      </w:r>
      <w:r>
        <w:rPr>
          <w:rFonts w:hint="eastAsia"/>
          <w:b w:val="0"/>
          <w:bCs w:val="0"/>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ascii="仿宋_GB2312" w:hAnsi="仿宋_GB2312" w:eastAsia="仿宋_GB2312" w:cs="仿宋_GB2312"/>
          <w:b/>
          <w:bCs/>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8"/>
        <w:tblW w:w="14205" w:type="dxa"/>
        <w:jc w:val="center"/>
        <w:tblLayout w:type="fixed"/>
        <w:tblCellMar>
          <w:top w:w="0" w:type="dxa"/>
          <w:left w:w="108" w:type="dxa"/>
          <w:bottom w:w="0" w:type="dxa"/>
          <w:right w:w="108" w:type="dxa"/>
        </w:tblCellMar>
      </w:tblPr>
      <w:tblGrid>
        <w:gridCol w:w="838"/>
        <w:gridCol w:w="1776"/>
        <w:gridCol w:w="1595"/>
        <w:gridCol w:w="1330"/>
        <w:gridCol w:w="1343"/>
        <w:gridCol w:w="1596"/>
        <w:gridCol w:w="1386"/>
        <w:gridCol w:w="1318"/>
        <w:gridCol w:w="1399"/>
        <w:gridCol w:w="1624"/>
      </w:tblGrid>
      <w:tr>
        <w:tblPrEx>
          <w:tblCellMar>
            <w:top w:w="0" w:type="dxa"/>
            <w:left w:w="108" w:type="dxa"/>
            <w:bottom w:w="0" w:type="dxa"/>
            <w:right w:w="108" w:type="dxa"/>
          </w:tblCellMar>
        </w:tblPrEx>
        <w:trPr>
          <w:trHeight w:val="419" w:hRule="atLeast"/>
          <w:jc w:val="center"/>
        </w:trPr>
        <w:tc>
          <w:tcPr>
            <w:tcW w:w="14205"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ascii="宋体" w:hAnsi="宋体" w:eastAsia="宋体"/>
                <w:color w:val="auto"/>
                <w:kern w:val="0"/>
                <w:sz w:val="20"/>
                <w:szCs w:val="20"/>
              </w:rPr>
            </w:pPr>
            <w:r>
              <w:rPr>
                <w:rFonts w:hint="eastAsia" w:ascii="Calibri" w:hAnsi="Calibri"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ascii="Calibri" w:hAnsi="Calibri"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咨询类型           　</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天数/次</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553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r>
              <w:rPr>
                <w:rFonts w:ascii="宋体" w:hAnsi="宋体" w:eastAsia="宋体"/>
                <w:color w:val="auto"/>
                <w:kern w:val="0"/>
                <w:sz w:val="20"/>
                <w:szCs w:val="20"/>
              </w:rPr>
              <w:t>／</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r>
              <w:rPr>
                <w:rFonts w:ascii="宋体" w:hAnsi="宋体" w:eastAsia="宋体"/>
                <w:color w:val="auto"/>
                <w:kern w:val="0"/>
                <w:sz w:val="20"/>
                <w:szCs w:val="20"/>
              </w:rPr>
              <w:t>／</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r>
              <w:rPr>
                <w:rFonts w:ascii="宋体" w:hAnsi="宋体" w:eastAsia="宋体"/>
                <w:color w:val="auto"/>
                <w:kern w:val="0"/>
                <w:sz w:val="20"/>
                <w:szCs w:val="20"/>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eastAsia="宋体"/>
                <w:color w:val="auto"/>
                <w:kern w:val="0"/>
                <w:sz w:val="20"/>
                <w:szCs w:val="20"/>
              </w:rPr>
            </w:pPr>
            <w:r>
              <w:rPr>
                <w:rFonts w:hint="eastAsia" w:ascii="宋体" w:hAnsi="宋体" w:eastAsia="宋体"/>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Hans"/>
        </w:rPr>
        <w:t>基本建设</w:t>
      </w:r>
      <w:r>
        <w:rPr>
          <w:rFonts w:hint="eastAsia" w:ascii="方正小标宋简体" w:hAnsi="方正小标宋简体" w:eastAsia="方正小标宋简体" w:cs="方正小标宋简体"/>
          <w:color w:val="auto"/>
          <w:sz w:val="44"/>
          <w:szCs w:val="44"/>
        </w:rPr>
        <w:t>费预算明细表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jc w:val="righ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6</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金额单位：万元</w:t>
      </w:r>
    </w:p>
    <w:tbl>
      <w:tblPr>
        <w:tblStyle w:val="8"/>
        <w:tblW w:w="13672" w:type="dxa"/>
        <w:jc w:val="center"/>
        <w:tblLayout w:type="fixed"/>
        <w:tblCellMar>
          <w:top w:w="0" w:type="dxa"/>
          <w:left w:w="108" w:type="dxa"/>
          <w:bottom w:w="0" w:type="dxa"/>
          <w:right w:w="108" w:type="dxa"/>
        </w:tblCellMar>
      </w:tblPr>
      <w:tblGrid>
        <w:gridCol w:w="1987"/>
        <w:gridCol w:w="3865"/>
        <w:gridCol w:w="1787"/>
        <w:gridCol w:w="1546"/>
        <w:gridCol w:w="1654"/>
        <w:gridCol w:w="1361"/>
        <w:gridCol w:w="1472"/>
      </w:tblGrid>
      <w:tr>
        <w:tblPrEx>
          <w:tblCellMar>
            <w:top w:w="0" w:type="dxa"/>
            <w:left w:w="108" w:type="dxa"/>
            <w:bottom w:w="0" w:type="dxa"/>
            <w:right w:w="108" w:type="dxa"/>
          </w:tblCellMar>
        </w:tblPrEx>
        <w:trPr>
          <w:trHeight w:val="440" w:hRule="atLeast"/>
          <w:jc w:val="center"/>
        </w:trPr>
        <w:tc>
          <w:tcPr>
            <w:tcW w:w="13672"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198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科目</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lang w:eastAsia="zh-Hans"/>
              </w:rPr>
              <w:t>（元）</w:t>
            </w:r>
            <w:r>
              <w:rPr>
                <w:rFonts w:hint="eastAsia" w:ascii="黑体" w:hAnsi="黑体" w:eastAsia="黑体" w:cs="黑体"/>
                <w:b w:val="0"/>
                <w:bCs w:val="0"/>
                <w:color w:val="auto"/>
                <w:kern w:val="0"/>
                <w:sz w:val="20"/>
                <w:szCs w:val="20"/>
              </w:rPr>
              <w:t xml:space="preserve">          　</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工程量</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金额</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资金来源</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98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r>
      <w:tr>
        <w:tblPrEx>
          <w:tblCellMar>
            <w:top w:w="0" w:type="dxa"/>
            <w:left w:w="108" w:type="dxa"/>
            <w:bottom w:w="0" w:type="dxa"/>
            <w:right w:w="108" w:type="dxa"/>
          </w:tblCellMar>
        </w:tblPrEx>
        <w:trPr>
          <w:trHeight w:val="40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bCs/>
                <w:color w:val="auto"/>
                <w:kern w:val="0"/>
                <w:sz w:val="20"/>
                <w:szCs w:val="20"/>
              </w:rPr>
              <w:t>1</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b/>
                <w:bCs/>
                <w:color w:val="auto"/>
                <w:kern w:val="0"/>
                <w:sz w:val="20"/>
                <w:szCs w:val="20"/>
                <w:lang w:eastAsia="zh-Hans"/>
              </w:rPr>
              <w:t>基本建设费合计</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.1</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房屋建筑物构建</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.2</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专用设备购置</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.3</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基础设施建设</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.4</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大型修缮</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.5</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信息网络建设</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.6</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其他基本建设支出</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bl>
    <w:p>
      <w:pPr>
        <w:rPr>
          <w:color w:val="auto"/>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其他费用预算明细表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ind w:firstLine="200" w:firstLineChars="100"/>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7</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8"/>
        <w:tblW w:w="13333" w:type="dxa"/>
        <w:jc w:val="center"/>
        <w:tblLayout w:type="fixed"/>
        <w:tblCellMar>
          <w:top w:w="0" w:type="dxa"/>
          <w:left w:w="108" w:type="dxa"/>
          <w:bottom w:w="0" w:type="dxa"/>
          <w:right w:w="108" w:type="dxa"/>
        </w:tblCellMar>
      </w:tblPr>
      <w:tblGrid>
        <w:gridCol w:w="869"/>
        <w:gridCol w:w="3350"/>
        <w:gridCol w:w="1728"/>
        <w:gridCol w:w="1653"/>
        <w:gridCol w:w="1349"/>
        <w:gridCol w:w="1513"/>
        <w:gridCol w:w="1235"/>
        <w:gridCol w:w="1636"/>
      </w:tblGrid>
      <w:tr>
        <w:tblPrEx>
          <w:tblCellMar>
            <w:top w:w="0" w:type="dxa"/>
            <w:left w:w="108" w:type="dxa"/>
            <w:bottom w:w="0" w:type="dxa"/>
            <w:right w:w="108" w:type="dxa"/>
          </w:tblCellMar>
        </w:tblPrEx>
        <w:trPr>
          <w:trHeight w:val="697" w:hRule="atLeast"/>
          <w:jc w:val="center"/>
        </w:trPr>
        <w:tc>
          <w:tcPr>
            <w:tcW w:w="1333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Calibri" w:hAnsi="Calibri" w:eastAsia="楷体_GB2312" w:cs="Times New Roman"/>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6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          　</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r>
      <w:tr>
        <w:tblPrEx>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60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eastAsia="仿宋_GB2312"/>
                <w:color w:val="auto"/>
                <w:kern w:val="0"/>
                <w:sz w:val="20"/>
                <w:szCs w:val="20"/>
              </w:rPr>
            </w:pPr>
            <w:r>
              <w:rPr>
                <w:rFonts w:hint="eastAsia" w:ascii="宋体" w:hAnsi="宋体" w:eastAsia="宋体"/>
                <w:color w:val="auto"/>
                <w:kern w:val="0"/>
                <w:sz w:val="20"/>
                <w:szCs w:val="20"/>
              </w:rPr>
              <w:t>／</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color w:val="auto"/>
                <w:kern w:val="0"/>
                <w:sz w:val="20"/>
                <w:szCs w:val="20"/>
              </w:rPr>
            </w:pPr>
            <w:r>
              <w:rPr>
                <w:rFonts w:hint="eastAsia" w:ascii="宋体" w:hAnsi="宋体" w:eastAsia="宋体"/>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间接费用预算明细表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b w:val="0"/>
          <w:bCs w:val="0"/>
          <w:color w:val="auto"/>
          <w:sz w:val="44"/>
          <w:szCs w:val="44"/>
        </w:rPr>
      </w:pPr>
    </w:p>
    <w:p>
      <w:pPr>
        <w:autoSpaceDE w:val="0"/>
        <w:autoSpaceDN w:val="0"/>
        <w:adjustRightInd w:val="0"/>
        <w:snapToGrid w:val="0"/>
        <w:spacing w:line="568" w:lineRule="exact"/>
        <w:ind w:firstLine="300" w:firstLineChars="150"/>
        <w:jc w:val="right"/>
        <w:rPr>
          <w:rFonts w:hint="eastAsia" w:ascii="仿宋_GB2312" w:hAnsi="仿宋_GB2312" w:eastAsia="仿宋_GB2312" w:cs="仿宋_GB2312"/>
          <w:b w:val="0"/>
          <w:bCs w:val="0"/>
          <w:color w:val="auto"/>
        </w:rPr>
      </w:pPr>
      <w:r>
        <w:rPr>
          <w:rFonts w:hint="eastAsia" w:ascii="黑体" w:hAnsi="黑体" w:eastAsia="黑体" w:cs="黑体"/>
          <w:b w:val="0"/>
          <w:bCs w:val="0"/>
          <w:color w:val="auto"/>
          <w:sz w:val="20"/>
        </w:rPr>
        <w:t>表B1</w:t>
      </w:r>
      <w:r>
        <w:rPr>
          <w:rFonts w:hint="eastAsia" w:ascii="黑体" w:hAnsi="黑体" w:eastAsia="黑体" w:cs="黑体"/>
          <w:b w:val="0"/>
          <w:bCs w:val="0"/>
          <w:color w:val="auto"/>
          <w:sz w:val="20"/>
          <w:lang w:val="en-US" w:eastAsia="zh-CN"/>
        </w:rPr>
        <w:t>8</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8"/>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372"/>
        <w:gridCol w:w="2854"/>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309" w:type="dxa"/>
            <w:gridSpan w:val="4"/>
            <w:noWrap w:val="0"/>
            <w:vAlign w:val="center"/>
          </w:tcPr>
          <w:p>
            <w:pPr>
              <w:adjustRightInd w:val="0"/>
              <w:snapToGrid w:val="0"/>
              <w:spacing w:line="276" w:lineRule="auto"/>
              <w:jc w:val="left"/>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填表说明：1.资金来源：省级财政专项资金、其他渠道资金；</w:t>
            </w:r>
          </w:p>
          <w:p>
            <w:pPr>
              <w:adjustRightInd w:val="0"/>
              <w:snapToGrid w:val="0"/>
              <w:spacing w:line="276" w:lineRule="auto"/>
              <w:ind w:firstLine="1000" w:firstLineChars="500"/>
              <w:jc w:val="left"/>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2.科研项目（课题）如包括技术推广示范内容，应扣减相应资金后再按照间接费用计算方法计算，并提供预算编制说明。技术推广示范类</w:t>
            </w:r>
          </w:p>
          <w:p>
            <w:pPr>
              <w:adjustRightInd w:val="0"/>
              <w:snapToGrid w:val="0"/>
              <w:spacing w:line="276" w:lineRule="auto"/>
              <w:ind w:firstLine="1200" w:firstLineChars="600"/>
              <w:jc w:val="left"/>
              <w:rPr>
                <w:rFonts w:hint="eastAsia" w:ascii="仿宋_GB2312" w:hAnsi="仿宋_GB2312" w:eastAsia="仿宋_GB2312" w:cs="仿宋_GB2312"/>
                <w:color w:val="auto"/>
                <w:sz w:val="20"/>
                <w:szCs w:val="20"/>
              </w:rPr>
            </w:pPr>
            <w:r>
              <w:rPr>
                <w:rFonts w:hint="eastAsia" w:ascii="楷体_GB2312" w:hAnsi="楷体_GB2312" w:eastAsia="楷体_GB2312" w:cs="楷体_GB2312"/>
                <w:color w:val="auto"/>
                <w:sz w:val="20"/>
                <w:szCs w:val="20"/>
              </w:rPr>
              <w:t>项目（课题）不允许列支间接费用。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69" w:type="dxa"/>
            <w:vMerge w:val="restart"/>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5372"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285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421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9" w:type="dxa"/>
            <w:vMerge w:val="continue"/>
            <w:noWrap w:val="0"/>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5372"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285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4214" w:type="dxa"/>
            <w:noWrap w:val="0"/>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41" w:type="dxa"/>
            <w:gridSpan w:val="2"/>
            <w:noWrap w:val="0"/>
            <w:vAlign w:val="center"/>
          </w:tcPr>
          <w:p>
            <w:pPr>
              <w:adjustRightInd w:val="0"/>
              <w:snapToGrid w:val="0"/>
              <w:spacing w:line="276"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累计</w:t>
            </w:r>
          </w:p>
        </w:tc>
        <w:tc>
          <w:tcPr>
            <w:tcW w:w="2854" w:type="dxa"/>
            <w:noWrap w:val="0"/>
            <w:vAlign w:val="center"/>
          </w:tcPr>
          <w:p>
            <w:pPr>
              <w:adjustRightInd w:val="0"/>
              <w:snapToGrid w:val="0"/>
              <w:spacing w:line="276" w:lineRule="auto"/>
              <w:jc w:val="center"/>
              <w:rPr>
                <w:color w:val="auto"/>
                <w:kern w:val="0"/>
                <w:sz w:val="20"/>
                <w:szCs w:val="20"/>
              </w:rPr>
            </w:pPr>
          </w:p>
        </w:tc>
        <w:tc>
          <w:tcPr>
            <w:tcW w:w="4214" w:type="dxa"/>
            <w:noWrap w:val="0"/>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w:t>
            </w:r>
          </w:p>
        </w:tc>
      </w:tr>
    </w:tbl>
    <w:p>
      <w:pPr>
        <w:autoSpaceDE w:val="0"/>
        <w:autoSpaceDN w:val="0"/>
        <w:rPr>
          <w:rFonts w:eastAsia="黑体"/>
          <w:color w:val="auto"/>
          <w:sz w:val="2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utoSpaceDE w:val="0"/>
        <w:autoSpaceDN w:val="0"/>
        <w:adjustRightInd w:val="0"/>
        <w:snapToGrid w:val="0"/>
        <w:spacing w:line="56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项目（课题）承担单位资金分配预算明细表</w:t>
      </w:r>
    </w:p>
    <w:p>
      <w:pPr>
        <w:autoSpaceDE w:val="0"/>
        <w:autoSpaceDN w:val="0"/>
        <w:adjustRightInd w:val="0"/>
        <w:snapToGrid w:val="0"/>
        <w:spacing w:line="400" w:lineRule="exact"/>
        <w:jc w:val="center"/>
        <w:rPr>
          <w:rFonts w:hint="eastAsia" w:ascii="方正小标宋简体" w:hAnsi="方正小标宋简体" w:eastAsia="方正小标宋简体" w:cs="方正小标宋简体"/>
          <w:color w:val="auto"/>
          <w:sz w:val="44"/>
          <w:szCs w:val="44"/>
        </w:rPr>
      </w:pPr>
    </w:p>
    <w:p>
      <w:pPr>
        <w:autoSpaceDE w:val="0"/>
        <w:autoSpaceDN w:val="0"/>
        <w:adjustRightInd w:val="0"/>
        <w:snapToGrid w:val="0"/>
        <w:spacing w:line="568" w:lineRule="exact"/>
        <w:rPr>
          <w:rFonts w:hint="eastAsia" w:ascii="仿宋_GB2312" w:hAnsi="仿宋_GB2312" w:eastAsia="仿宋_GB2312" w:cs="仿宋_GB2312"/>
          <w:b w:val="0"/>
          <w:bCs w:val="0"/>
          <w:color w:val="auto"/>
          <w:sz w:val="20"/>
        </w:rPr>
      </w:pPr>
      <w:r>
        <w:rPr>
          <w:rFonts w:hint="eastAsia" w:ascii="黑体" w:hAnsi="黑体" w:eastAsia="黑体" w:cs="黑体"/>
          <w:b w:val="0"/>
          <w:bCs w:val="0"/>
          <w:color w:val="auto"/>
          <w:sz w:val="20"/>
        </w:rPr>
        <w:t>表B</w:t>
      </w:r>
      <w:r>
        <w:rPr>
          <w:rFonts w:hint="eastAsia" w:ascii="黑体" w:hAnsi="黑体" w:eastAsia="黑体" w:cs="黑体"/>
          <w:b w:val="0"/>
          <w:bCs w:val="0"/>
          <w:color w:val="auto"/>
          <w:sz w:val="20"/>
          <w:lang w:val="en-US" w:eastAsia="zh-CN"/>
        </w:rPr>
        <w:t>19</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b w:val="0"/>
          <w:bCs w:val="0"/>
          <w:color w:val="auto"/>
          <w:sz w:val="20"/>
        </w:rPr>
        <w:t xml:space="preserve">     </w:t>
      </w:r>
      <w:r>
        <w:rPr>
          <w:rFonts w:hint="eastAsia"/>
          <w:b w:val="0"/>
          <w:bCs w:val="0"/>
          <w:color w:val="auto"/>
          <w:sz w:val="20"/>
        </w:rPr>
        <w:t xml:space="preserve">  </w:t>
      </w:r>
      <w:r>
        <w:rPr>
          <w:rFonts w:hint="eastAsia" w:ascii="仿宋_GB2312" w:hAnsi="仿宋_GB2312" w:eastAsia="仿宋_GB2312" w:cs="仿宋_GB2312"/>
          <w:b w:val="0"/>
          <w:bCs w:val="0"/>
          <w:color w:val="auto"/>
          <w:sz w:val="20"/>
        </w:rPr>
        <w:t xml:space="preserve">  金额单位：万元</w:t>
      </w:r>
    </w:p>
    <w:tbl>
      <w:tblPr>
        <w:tblStyle w:val="8"/>
        <w:tblW w:w="13363" w:type="dxa"/>
        <w:jc w:val="center"/>
        <w:tblLayout w:type="fixed"/>
        <w:tblCellMar>
          <w:top w:w="0" w:type="dxa"/>
          <w:left w:w="0" w:type="dxa"/>
          <w:bottom w:w="0" w:type="dxa"/>
          <w:right w:w="0" w:type="dxa"/>
        </w:tblCellMar>
      </w:tblPr>
      <w:tblGrid>
        <w:gridCol w:w="426"/>
        <w:gridCol w:w="2983"/>
        <w:gridCol w:w="888"/>
        <w:gridCol w:w="838"/>
        <w:gridCol w:w="3207"/>
        <w:gridCol w:w="983"/>
        <w:gridCol w:w="9"/>
        <w:gridCol w:w="961"/>
        <w:gridCol w:w="9"/>
        <w:gridCol w:w="890"/>
        <w:gridCol w:w="1077"/>
        <w:gridCol w:w="1092"/>
      </w:tblGrid>
      <w:tr>
        <w:tblPrEx>
          <w:tblCellMar>
            <w:top w:w="0" w:type="dxa"/>
            <w:left w:w="0" w:type="dxa"/>
            <w:bottom w:w="0" w:type="dxa"/>
            <w:right w:w="0" w:type="dxa"/>
          </w:tblCellMar>
        </w:tblPrEx>
        <w:trPr>
          <w:cantSplit/>
          <w:trHeight w:val="965" w:hRule="atLeast"/>
          <w:jc w:val="center"/>
        </w:trPr>
        <w:tc>
          <w:tcPr>
            <w:tcW w:w="13363"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adjustRightInd w:val="0"/>
              <w:snapToGrid w:val="0"/>
              <w:spacing w:line="220" w:lineRule="exact"/>
              <w:ind w:left="0" w:firstLine="0" w:firstLineChars="0"/>
              <w:rPr>
                <w:rFonts w:hint="eastAsia" w:ascii="楷体_GB2312" w:hAnsi="楷体_GB2312" w:eastAsia="楷体_GB2312" w:cs="楷体_GB2312"/>
                <w:color w:val="auto"/>
                <w:sz w:val="20"/>
                <w:szCs w:val="20"/>
              </w:rPr>
            </w:pPr>
            <w:r>
              <w:rPr>
                <w:rFonts w:hint="eastAsia" w:ascii="楷体_GB2312" w:hAnsi="楷体_GB2312" w:eastAsia="楷体_GB2312" w:cs="楷体_GB2312"/>
                <w:color w:val="auto"/>
                <w:sz w:val="20"/>
                <w:szCs w:val="20"/>
              </w:rPr>
              <w:t>填表说明：1.单位类型为牵头承担单位、参与单位；</w:t>
            </w:r>
          </w:p>
          <w:p>
            <w:pPr>
              <w:autoSpaceDE w:val="0"/>
              <w:autoSpaceDN w:val="0"/>
              <w:adjustRightInd w:val="0"/>
              <w:snapToGrid w:val="0"/>
              <w:spacing w:line="220" w:lineRule="exact"/>
              <w:ind w:left="661" w:hanging="704" w:hangingChars="352"/>
              <w:rPr>
                <w:rFonts w:eastAsia="楷体_GB2312"/>
                <w:color w:val="auto"/>
                <w:sz w:val="20"/>
                <w:szCs w:val="20"/>
              </w:rPr>
            </w:pPr>
            <w:r>
              <w:rPr>
                <w:rFonts w:hint="eastAsia" w:ascii="楷体_GB2312" w:hAnsi="楷体_GB2312" w:eastAsia="楷体_GB2312" w:cs="楷体_GB2312"/>
                <w:color w:val="auto"/>
                <w:sz w:val="20"/>
                <w:szCs w:val="20"/>
              </w:rPr>
              <w:t xml:space="preserve">          2.组织机构代码指企事业单位国家标准代码，单位若已三证合一请填写单位统一社会信用代码, 无组织机构代码的单位填写“000000000”。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426" w:type="dxa"/>
            <w:vMerge w:val="restart"/>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83" w:type="dxa"/>
            <w:vMerge w:val="restart"/>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单位名称</w:t>
            </w:r>
          </w:p>
        </w:tc>
        <w:tc>
          <w:tcPr>
            <w:tcW w:w="888" w:type="dxa"/>
            <w:vMerge w:val="restart"/>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组织机构代码</w:t>
            </w:r>
          </w:p>
        </w:tc>
        <w:tc>
          <w:tcPr>
            <w:tcW w:w="838" w:type="dxa"/>
            <w:vMerge w:val="restart"/>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类型</w:t>
            </w:r>
          </w:p>
        </w:tc>
        <w:tc>
          <w:tcPr>
            <w:tcW w:w="3207" w:type="dxa"/>
            <w:vMerge w:val="restart"/>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任务分工</w:t>
            </w:r>
          </w:p>
        </w:tc>
        <w:tc>
          <w:tcPr>
            <w:tcW w:w="983" w:type="dxa"/>
            <w:vMerge w:val="restart"/>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负责人</w:t>
            </w:r>
          </w:p>
        </w:tc>
        <w:tc>
          <w:tcPr>
            <w:tcW w:w="970" w:type="dxa"/>
            <w:gridSpan w:val="2"/>
            <w:vMerge w:val="restart"/>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1976" w:type="dxa"/>
            <w:gridSpan w:val="3"/>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1092" w:type="dxa"/>
            <w:vMerge w:val="restart"/>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vMerge w:val="continue"/>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88" w:type="dxa"/>
            <w:vMerge w:val="continue"/>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38"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3207"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83" w:type="dxa"/>
            <w:vMerge w:val="continue"/>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70" w:type="dxa"/>
            <w:gridSpan w:val="2"/>
            <w:vMerge w:val="continue"/>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小计</w:t>
            </w: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其中：间接费用 </w:t>
            </w:r>
          </w:p>
        </w:tc>
        <w:tc>
          <w:tcPr>
            <w:tcW w:w="1092" w:type="dxa"/>
            <w:vMerge w:val="continue"/>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Merge w:val="continue"/>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888" w:type="dxa"/>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838"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3207" w:type="dxa"/>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983" w:type="dxa"/>
            <w:tcBorders>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（8）</w:t>
            </w:r>
          </w:p>
        </w:tc>
        <w:tc>
          <w:tcPr>
            <w:tcW w:w="1092" w:type="dxa"/>
            <w:tcBorders>
              <w:left w:val="single" w:color="auto" w:sz="4" w:space="0"/>
            </w:tcBorders>
            <w:noWrap w:val="0"/>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2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88"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38"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3207"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2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88"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38"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3207" w:type="dxa"/>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34" w:type="dxa"/>
            <w:gridSpan w:val="7"/>
            <w:tcBorders>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累计</w:t>
            </w: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890"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0"/>
                <w:szCs w:val="20"/>
              </w:rPr>
            </w:pPr>
          </w:p>
        </w:tc>
        <w:tc>
          <w:tcPr>
            <w:tcW w:w="1092"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color w:val="auto"/>
                <w:sz w:val="20"/>
                <w:szCs w:val="20"/>
              </w:rPr>
            </w:pPr>
          </w:p>
        </w:tc>
      </w:tr>
    </w:tbl>
    <w:p>
      <w:pPr>
        <w:adjustRightInd w:val="0"/>
        <w:snapToGrid w:val="0"/>
        <w:spacing w:line="440" w:lineRule="exact"/>
        <w:rPr>
          <w:rFonts w:hint="eastAsia" w:ascii="仿宋_GB2312" w:hAnsi="仿宋_GB2312" w:eastAsia="仿宋_GB2312" w:cs="仿宋_GB2312"/>
          <w:color w:val="auto"/>
          <w:sz w:val="20"/>
          <w:szCs w:val="20"/>
        </w:rPr>
      </w:pPr>
      <w:r>
        <w:rPr>
          <w:rFonts w:hint="eastAsia" w:ascii="黑体" w:hAnsi="黑体" w:eastAsia="黑体" w:cs="黑体"/>
          <w:color w:val="auto"/>
          <w:sz w:val="20"/>
          <w:szCs w:val="20"/>
        </w:rPr>
        <w:t>注：</w:t>
      </w:r>
      <w:r>
        <w:rPr>
          <w:rFonts w:hint="eastAsia" w:ascii="仿宋_GB2312" w:hAnsi="仿宋_GB2312" w:eastAsia="仿宋_GB2312" w:cs="仿宋_GB2312"/>
          <w:color w:val="auto"/>
          <w:sz w:val="20"/>
          <w:szCs w:val="20"/>
        </w:rPr>
        <w:t>1.任务分工的描述应简洁，不超过300字。</w:t>
      </w:r>
    </w:p>
    <w:p>
      <w:pPr>
        <w:topLinePunct w:val="0"/>
        <w:adjustRightInd w:val="0"/>
        <w:snapToGrid w:val="0"/>
        <w:spacing w:line="440" w:lineRule="exact"/>
        <w:ind w:firstLine="400" w:firstLineChars="20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2.牵头承担单位应当根据实施进度和资金使用情况汇报、监督工作，参与单位不得再向外转拨资金。</w:t>
      </w:r>
    </w:p>
    <w:p>
      <w:pPr>
        <w:ind w:firstLine="450" w:firstLineChars="250"/>
        <w:rPr>
          <w:rFonts w:ascii="宋体" w:hAnsi="宋体" w:cs="宋体"/>
          <w:color w:val="auto"/>
          <w:sz w:val="18"/>
          <w:szCs w:val="18"/>
        </w:rPr>
      </w:pPr>
    </w:p>
    <w:p>
      <w:pPr>
        <w:ind w:firstLine="450" w:firstLineChars="250"/>
        <w:rPr>
          <w:rFonts w:ascii="宋体" w:hAnsi="宋体" w:cs="宋体"/>
          <w:color w:val="auto"/>
          <w:sz w:val="18"/>
          <w:szCs w:val="18"/>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九、预算主要用途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（一）省级财政资金预算主要用途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（主要说明省级财政资金与研究任务/推广示范任务的关系及一一对应情况等）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（二）其他渠道资金预算主要用途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十、预算说明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w:t>
      </w:r>
      <w:r>
        <w:rPr>
          <w:rFonts w:hint="eastAsia" w:ascii="仿宋_GB2312" w:hAnsi="仿宋_GB2312" w:eastAsia="仿宋_GB2312" w:cs="仿宋_GB2312"/>
          <w:i w:val="0"/>
          <w:iCs w:val="0"/>
          <w:snapToGrid w:val="0"/>
          <w:color w:val="auto"/>
          <w:kern w:val="0"/>
          <w:sz w:val="32"/>
          <w:szCs w:val="32"/>
          <w:lang w:eastAsia="zh-Hans"/>
        </w:rPr>
        <w:t>该部分需严格按照如下要求编写。</w:t>
      </w:r>
      <w:r>
        <w:rPr>
          <w:rFonts w:hint="eastAsia" w:ascii="仿宋_GB2312" w:hAnsi="仿宋_GB2312" w:eastAsia="仿宋_GB2312" w:cs="仿宋_GB2312"/>
          <w:i w:val="0"/>
          <w:iCs w:val="0"/>
          <w:snapToGrid w:val="0"/>
          <w:color w:val="auto"/>
          <w:kern w:val="0"/>
          <w:sz w:val="32"/>
          <w:szCs w:val="32"/>
        </w:rPr>
        <w:t>“</w:t>
      </w:r>
      <w:r>
        <w:rPr>
          <w:rFonts w:hint="eastAsia" w:ascii="仿宋_GB2312" w:hAnsi="仿宋_GB2312" w:eastAsia="仿宋_GB2312" w:cs="仿宋_GB2312"/>
          <w:i w:val="0"/>
          <w:iCs w:val="0"/>
          <w:snapToGrid w:val="0"/>
          <w:color w:val="auto"/>
          <w:kern w:val="0"/>
          <w:sz w:val="32"/>
          <w:szCs w:val="32"/>
          <w:lang w:eastAsia="zh-Hans"/>
        </w:rPr>
        <w:t>研究内容</w:t>
      </w:r>
      <w:r>
        <w:rPr>
          <w:rFonts w:hint="eastAsia" w:ascii="仿宋_GB2312" w:hAnsi="仿宋_GB2312" w:eastAsia="仿宋_GB2312" w:cs="仿宋_GB2312"/>
          <w:i w:val="0"/>
          <w:iCs w:val="0"/>
          <w:snapToGrid w:val="0"/>
          <w:color w:val="auto"/>
          <w:kern w:val="0"/>
          <w:sz w:val="32"/>
          <w:szCs w:val="32"/>
        </w:rPr>
        <w:t>”分为几部分，每一个费类应对应研究内容的部分，分别说明。对项目（课题）各科目支出主要用途、与项目（课题）任务的相关性、必要性及测算方法、测算依据进行详细说明；如同一科目同时编列省级财政专项资金和其他渠道资金的，应分别就省级财政专项资金、其他渠道资金在本科目的具体用途予以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（一）直接费用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1.设备费（应当对仪器设备购置进行重点说明）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经费预算  万元，占总经费预算  %。</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（2）与项目（课题）</w:t>
      </w:r>
      <w:r>
        <w:rPr>
          <w:rFonts w:hint="eastAsia" w:ascii="仿宋_GB2312" w:hAnsi="仿宋_GB2312" w:eastAsia="仿宋_GB2312" w:cs="仿宋_GB2312"/>
          <w:i w:val="0"/>
          <w:iCs w:val="0"/>
          <w:snapToGrid w:val="0"/>
          <w:color w:val="auto"/>
          <w:kern w:val="0"/>
          <w:sz w:val="32"/>
          <w:szCs w:val="32"/>
          <w:lang w:eastAsia="zh-Hans"/>
        </w:rPr>
        <w:t>任务的</w:t>
      </w:r>
      <w:r>
        <w:rPr>
          <w:rFonts w:hint="eastAsia" w:ascii="仿宋_GB2312" w:hAnsi="仿宋_GB2312" w:eastAsia="仿宋_GB2312" w:cs="仿宋_GB2312"/>
          <w:i w:val="0"/>
          <w:iCs w:val="0"/>
          <w:snapToGrid w:val="0"/>
          <w:color w:val="auto"/>
          <w:kern w:val="0"/>
          <w:sz w:val="32"/>
          <w:szCs w:val="32"/>
        </w:rPr>
        <w:t>相关性说明：应说明该项支出的主要用途，用于支撑保障研究的哪部分内容，拟支出内容的必要性。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研究内容2：</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bidi="ar"/>
        </w:rPr>
        <w:t>（2）与项目（课题）任务的相关性说明：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bidi="ar"/>
        </w:rPr>
        <w:t>（3）测算方法（依据）：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2.材料费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3.测试化验加工费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4.燃料动力费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5.出版/文献/信息传播/知识产权事务费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6.会议/差旅/国际合作与交流费（科研人员结合科研活动实际需要编制预算并按规定统筹安排使用，其中不超过直接费用10%的，不需要提供预算测算依据。超过直接费用10%的，应说明测算过程和依据）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7.培训费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8.劳务费（劳务费预算无比例限制。参与项目（课题）实施的研究生、博士后、访问学者以及项目（课题）聘用的人员、科研辅助人员等，均可开支劳务费。项目（课题）聘用人员的劳务费开支标准，参照当地科学研究和技术服务业从业人员平均工资水平，根据其在项目（课题）实施中承担的工作任务确定，其社会保险补助纳入劳务费科目中列支）</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应说明该项支出的主要用途，用于支撑保障研究的哪部分内容，拟支出内容的必要性。同时应与项目人员表中所列人员相一致。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10</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专家咨询费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11</w:t>
      </w:r>
      <w:r>
        <w:rPr>
          <w:rFonts w:hint="eastAsia" w:ascii="仿宋_GB2312" w:hAnsi="仿宋_GB2312" w:eastAsia="仿宋_GB2312" w:cs="仿宋_GB2312"/>
          <w:i w:val="0"/>
          <w:iCs w:val="0"/>
          <w:snapToGrid w:val="0"/>
          <w:color w:val="auto"/>
          <w:kern w:val="0"/>
          <w:sz w:val="32"/>
          <w:szCs w:val="32"/>
          <w:lang w:eastAsia="zh-Hans"/>
        </w:rPr>
        <w:t>.基本建设费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lang w:eastAsia="zh-Hans"/>
        </w:rPr>
        <w:t>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万元，占总经费预算</w:t>
      </w:r>
      <w:r>
        <w:rPr>
          <w:rFonts w:hint="eastAsia" w:ascii="仿宋_GB2312" w:hAnsi="仿宋_GB2312" w:eastAsia="仿宋_GB2312" w:cs="仿宋_GB2312"/>
          <w:i w:val="0"/>
          <w:iCs w:val="0"/>
          <w:snapToGrid w:val="0"/>
          <w:color w:val="auto"/>
          <w:kern w:val="0"/>
          <w:sz w:val="32"/>
          <w:szCs w:val="32"/>
          <w:u w:val="single"/>
          <w:lang w:eastAsia="zh-Hans"/>
        </w:rPr>
        <w:t xml:space="preserve">  </w:t>
      </w: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仿宋_GB2312" w:hAnsi="仿宋_GB2312" w:eastAsia="仿宋_GB2312" w:cs="仿宋_GB2312"/>
          <w:b/>
          <w:bCs/>
          <w:i w:val="0"/>
          <w:iCs w:val="0"/>
          <w:snapToGrid w:val="0"/>
          <w:color w:val="auto"/>
          <w:kern w:val="0"/>
          <w:sz w:val="32"/>
          <w:szCs w:val="32"/>
          <w:lang w:eastAsia="zh-Hans"/>
        </w:rPr>
      </w:pPr>
      <w:r>
        <w:rPr>
          <w:rFonts w:hint="eastAsia" w:ascii="仿宋_GB2312" w:hAnsi="仿宋_GB2312" w:eastAsia="仿宋_GB2312" w:cs="仿宋_GB2312"/>
          <w:b/>
          <w:bCs/>
          <w:i w:val="0"/>
          <w:iCs w:val="0"/>
          <w:snapToGrid w:val="0"/>
          <w:color w:val="auto"/>
          <w:kern w:val="0"/>
          <w:sz w:val="32"/>
          <w:szCs w:val="32"/>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名称：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与项目（课题）任务的相关性说明：</w:t>
      </w:r>
      <w:r>
        <w:rPr>
          <w:rFonts w:hint="eastAsia" w:ascii="仿宋_GB2312" w:hAnsi="仿宋_GB2312" w:eastAsia="仿宋_GB2312" w:cs="仿宋_GB2312"/>
          <w:i w:val="0"/>
          <w:iCs w:val="0"/>
          <w:snapToGrid w:val="0"/>
          <w:color w:val="auto"/>
          <w:kern w:val="0"/>
          <w:sz w:val="32"/>
          <w:szCs w:val="32"/>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lang w:eastAsia="zh-Hans"/>
        </w:rPr>
      </w:pPr>
      <w:r>
        <w:rPr>
          <w:rFonts w:hint="eastAsia" w:ascii="仿宋_GB2312" w:hAnsi="仿宋_GB2312" w:eastAsia="仿宋_GB2312" w:cs="仿宋_GB2312"/>
          <w:i w:val="0"/>
          <w:iCs w:val="0"/>
          <w:snapToGrid w:val="0"/>
          <w:color w:val="auto"/>
          <w:kern w:val="0"/>
          <w:sz w:val="32"/>
          <w:szCs w:val="32"/>
          <w:lang w:eastAsia="zh-Hans"/>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12.其他</w:t>
      </w:r>
      <w:r>
        <w:rPr>
          <w:rFonts w:hint="eastAsia" w:ascii="仿宋_GB2312" w:hAnsi="仿宋_GB2312" w:eastAsia="仿宋_GB2312" w:cs="仿宋_GB2312"/>
          <w:i w:val="0"/>
          <w:iCs w:val="0"/>
          <w:snapToGrid w:val="0"/>
          <w:color w:val="auto"/>
          <w:kern w:val="0"/>
          <w:sz w:val="32"/>
          <w:szCs w:val="32"/>
          <w:lang w:eastAsia="zh-Hans"/>
        </w:rPr>
        <w:t>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楷体_GB2312" w:hAnsi="楷体_GB2312" w:eastAsia="楷体_GB2312" w:cs="楷体_GB2312"/>
          <w:i w:val="0"/>
          <w:iCs w:val="0"/>
          <w:snapToGrid w:val="0"/>
          <w:color w:val="auto"/>
          <w:kern w:val="0"/>
          <w:sz w:val="32"/>
          <w:szCs w:val="32"/>
        </w:rPr>
      </w:pPr>
      <w:r>
        <w:rPr>
          <w:rFonts w:hint="eastAsia" w:ascii="楷体_GB2312" w:hAnsi="楷体_GB2312" w:eastAsia="楷体_GB2312" w:cs="楷体_GB2312"/>
          <w:i w:val="0"/>
          <w:iCs w:val="0"/>
          <w:snapToGrid w:val="0"/>
          <w:color w:val="auto"/>
          <w:kern w:val="0"/>
          <w:sz w:val="32"/>
          <w:szCs w:val="32"/>
        </w:rPr>
        <w:t>（二）间接费用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i/>
          <w:iCs/>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（科研项目（课题）如包括技术推广示范内容，应扣减相应资金后再按照间接费用计算方法计算，并提供预算编制说明。技术推广示范类项目（课题）不允许列支间接费用）</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napToGrid w:val="0"/>
          <w:color w:val="auto"/>
          <w:kern w:val="0"/>
          <w:sz w:val="32"/>
          <w:szCs w:val="32"/>
        </w:rPr>
        <w:sectPr>
          <w:pgSz w:w="11906" w:h="16838"/>
          <w:pgMar w:top="1871" w:right="1531" w:bottom="1871" w:left="153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十一、绩效目标</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（包含经济效益、社会效益、生态效益分析。需填写支出绩效目标表）</w:t>
      </w:r>
    </w:p>
    <w:p>
      <w:pPr>
        <w:pStyle w:val="4"/>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方正小标宋简体" w:hAnsi="方正小标宋简体" w:eastAsia="方正小标宋简体" w:cs="方正小标宋简体"/>
          <w:color w:val="auto"/>
          <w:kern w:val="0"/>
          <w:sz w:val="32"/>
          <w:szCs w:val="32"/>
          <w:lang w:bidi="ar"/>
        </w:rPr>
      </w:pPr>
      <w:r>
        <w:rPr>
          <w:rFonts w:hint="eastAsia" w:ascii="方正小标宋简体" w:hAnsi="方正小标宋简体" w:eastAsia="方正小标宋简体" w:cs="方正小标宋简体"/>
          <w:color w:val="auto"/>
          <w:kern w:val="0"/>
          <w:sz w:val="32"/>
          <w:szCs w:val="32"/>
          <w:lang w:bidi="ar"/>
        </w:rPr>
        <w:t>支出绩效目标表（示例）</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宋体" w:eastAsia="仿宋_GB2312" w:cs="仿宋_GB2312"/>
          <w:color w:val="auto"/>
          <w:kern w:val="0"/>
          <w:sz w:val="24"/>
          <w:szCs w:val="24"/>
          <w:lang w:bidi="ar"/>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单位：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项目（课题）名称：</w:t>
      </w:r>
    </w:p>
    <w:tbl>
      <w:tblPr>
        <w:tblStyle w:val="8"/>
        <w:tblW w:w="13543" w:type="dxa"/>
        <w:jc w:val="center"/>
        <w:tblLayout w:type="fixed"/>
        <w:tblCellMar>
          <w:top w:w="15" w:type="dxa"/>
          <w:left w:w="15" w:type="dxa"/>
          <w:bottom w:w="15" w:type="dxa"/>
          <w:right w:w="15" w:type="dxa"/>
        </w:tblCellMar>
      </w:tblPr>
      <w:tblGrid>
        <w:gridCol w:w="1141"/>
        <w:gridCol w:w="1440"/>
        <w:gridCol w:w="2325"/>
        <w:gridCol w:w="1725"/>
        <w:gridCol w:w="1396"/>
        <w:gridCol w:w="5516"/>
      </w:tblGrid>
      <w:tr>
        <w:tblPrEx>
          <w:tblCellMar>
            <w:top w:w="15" w:type="dxa"/>
            <w:left w:w="15" w:type="dxa"/>
            <w:bottom w:w="15" w:type="dxa"/>
            <w:right w:w="15" w:type="dxa"/>
          </w:tblCellMar>
        </w:tblPrEx>
        <w:trPr>
          <w:trHeight w:val="756" w:hRule="atLeast"/>
          <w:tblHeader/>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绩效目标</w:t>
            </w:r>
          </w:p>
        </w:tc>
        <w:tc>
          <w:tcPr>
            <w:tcW w:w="3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实施期目标（跨年度项目（课题）需填写，当年度项目（课题）不需填写）</w:t>
            </w:r>
          </w:p>
        </w:tc>
        <w:tc>
          <w:tcPr>
            <w:tcW w:w="31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当年度目标*</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填写说明</w:t>
            </w:r>
          </w:p>
        </w:tc>
      </w:tr>
      <w:tr>
        <w:tblPrEx>
          <w:tblCellMar>
            <w:top w:w="15" w:type="dxa"/>
            <w:left w:w="15" w:type="dxa"/>
            <w:bottom w:w="15" w:type="dxa"/>
            <w:right w:w="15" w:type="dxa"/>
          </w:tblCellMar>
        </w:tblPrEx>
        <w:trPr>
          <w:trHeight w:val="863"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总体目标</w:t>
            </w:r>
          </w:p>
        </w:tc>
        <w:tc>
          <w:tcPr>
            <w:tcW w:w="3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c>
          <w:tcPr>
            <w:tcW w:w="31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根据</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资金设立（或政策意图）的初衷，概括性描述该</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资金安排后应达到的总体目标和效果（总任务、总要求、总产出和总效益）。</w:t>
            </w:r>
          </w:p>
        </w:tc>
      </w:tr>
      <w:tr>
        <w:tblPrEx>
          <w:tblCellMar>
            <w:top w:w="15" w:type="dxa"/>
            <w:left w:w="15" w:type="dxa"/>
            <w:bottom w:w="15" w:type="dxa"/>
            <w:right w:w="15" w:type="dxa"/>
          </w:tblCellMar>
        </w:tblPrEx>
        <w:trPr>
          <w:trHeight w:val="306"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一级指标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二级指标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三级指标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实施周期指标值</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当年度指标值</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产</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出</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数量指标*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举办</w:t>
            </w: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培训班</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3期</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对目标任务用指标值进行量化描述，确实无法量化的指标值可采用定性表述。如：举办</w:t>
            </w: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培训班，3期；培训人数，120人。</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培训人数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120人</w:t>
            </w: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质量指标*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培训学员合格率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Style w:val="11"/>
                <w:rFonts w:hint="default" w:hAnsi="宋体"/>
                <w:color w:val="auto"/>
                <w:sz w:val="20"/>
                <w:szCs w:val="20"/>
                <w:lang w:bidi="ar"/>
              </w:rPr>
              <w:t>对目标任务的质量要求（标准）进行量化描述，确实无法量化的指标值可采用定性表述。如：培训学员合格率</w:t>
            </w:r>
            <w:r>
              <w:rPr>
                <w:rFonts w:ascii="宋体" w:hAnsi="宋体" w:cs="宋体"/>
                <w:color w:val="auto"/>
                <w:kern w:val="0"/>
                <w:sz w:val="20"/>
                <w:szCs w:val="20"/>
                <w:lang w:bidi="ar"/>
              </w:rPr>
              <w:t>≧</w:t>
            </w:r>
            <w:r>
              <w:rPr>
                <w:rStyle w:val="11"/>
                <w:rFonts w:hint="default" w:hAnsi="宋体"/>
                <w:color w:val="auto"/>
                <w:sz w:val="20"/>
                <w:szCs w:val="20"/>
                <w:lang w:bidi="ar"/>
              </w:rPr>
              <w:t>98%。</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时效指标*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完成时限</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eastAsia="zh-CN" w:bidi="ar"/>
              </w:rPr>
              <w:t>2023</w:t>
            </w:r>
            <w:r>
              <w:rPr>
                <w:rFonts w:hint="eastAsia" w:ascii="仿宋_GB2312" w:hAnsi="宋体" w:eastAsia="仿宋_GB2312" w:cs="仿宋_GB2312"/>
                <w:color w:val="auto"/>
                <w:kern w:val="0"/>
                <w:sz w:val="20"/>
                <w:szCs w:val="20"/>
                <w:lang w:bidi="ar"/>
              </w:rPr>
              <w:t>年前</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对目标任务的完成时间进行量化描述。如：完成时限，</w:t>
            </w:r>
            <w:r>
              <w:rPr>
                <w:rFonts w:hint="eastAsia" w:ascii="仿宋_GB2312" w:hAnsi="宋体" w:eastAsia="仿宋_GB2312" w:cs="仿宋_GB2312"/>
                <w:color w:val="auto"/>
                <w:kern w:val="0"/>
                <w:sz w:val="20"/>
                <w:szCs w:val="20"/>
                <w:lang w:eastAsia="zh-CN" w:bidi="ar"/>
              </w:rPr>
              <w:t>2022</w:t>
            </w:r>
            <w:r>
              <w:rPr>
                <w:rFonts w:hint="eastAsia" w:ascii="仿宋_GB2312" w:hAnsi="宋体" w:eastAsia="仿宋_GB2312" w:cs="仿宋_GB2312"/>
                <w:color w:val="auto"/>
                <w:kern w:val="0"/>
                <w:sz w:val="20"/>
                <w:szCs w:val="20"/>
                <w:lang w:bidi="ar"/>
              </w:rPr>
              <w:t>年12月31日前。</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成本指标*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培训班培训费支出</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00" w:firstLineChars="100"/>
              <w:jc w:val="center"/>
              <w:textAlignment w:val="center"/>
              <w:rPr>
                <w:rFonts w:ascii="仿宋_GB2312" w:hAnsi="宋体" w:eastAsia="仿宋_GB2312" w:cs="仿宋_GB2312"/>
                <w:color w:val="auto"/>
                <w:kern w:val="0"/>
                <w:sz w:val="20"/>
                <w:szCs w:val="20"/>
                <w:lang w:bidi="ar"/>
              </w:rPr>
            </w:pP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对资金支出成本控制进行量化描述。确实无法量化的指标值可采用定性表述。如：</w:t>
            </w:r>
            <w:r>
              <w:rPr>
                <w:rFonts w:hint="default" w:ascii="Arial" w:hAnsi="Arial" w:eastAsia="仿宋_GB2312" w:cs="Arial"/>
                <w:color w:val="auto"/>
                <w:kern w:val="0"/>
                <w:sz w:val="20"/>
                <w:szCs w:val="20"/>
                <w:lang w:bidi="ar"/>
              </w:rPr>
              <w:t>××</w:t>
            </w:r>
            <w:r>
              <w:rPr>
                <w:rFonts w:hint="eastAsia" w:ascii="仿宋_GB2312" w:hAnsi="宋体" w:eastAsia="仿宋_GB2312" w:cs="仿宋_GB2312"/>
                <w:color w:val="auto"/>
                <w:kern w:val="0"/>
                <w:sz w:val="20"/>
                <w:szCs w:val="20"/>
                <w:lang w:bidi="ar"/>
              </w:rPr>
              <w:t>≦</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成本支出</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效</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益</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经济效益指标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社会效益指标*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农业科技进步贡献率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≧80%</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实施后产生的社会效益，无法量化的指标值可采用定性表述。如提高管理能力</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全省重大农产品质量事故</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0</w:t>
            </w: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生态效益指标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主要农作物化肥利用率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≧40%</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涉及污染监控整治管理类的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选填，不涉及的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可不填写。如：主要农作物化肥利用率≧40%</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可持续影响指标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持续政策资金保障程度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高</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完成后，后续政策、资金保障程序，以及管理机制（人员机构）因素完善水平。</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管理机制</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比较完善</w:t>
            </w:r>
          </w:p>
        </w:tc>
        <w:tc>
          <w:tcPr>
            <w:tcW w:w="5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受训学员满意度</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306"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5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1118" w:hRule="atLeast"/>
          <w:jc w:val="center"/>
        </w:trPr>
        <w:tc>
          <w:tcPr>
            <w:tcW w:w="13543" w:type="dxa"/>
            <w:gridSpan w:val="6"/>
            <w:noWrap w:val="0"/>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kern w:val="0"/>
                <w:sz w:val="20"/>
                <w:szCs w:val="20"/>
                <w:lang w:bidi="ar"/>
              </w:rPr>
            </w:pPr>
          </w:p>
          <w:p>
            <w:pPr>
              <w:keepNext w:val="0"/>
              <w:keepLines w:val="0"/>
              <w:pageBreakBefore w:val="0"/>
              <w:kinsoku/>
              <w:wordWrap/>
              <w:overflowPunct/>
              <w:topLinePunct w:val="0"/>
              <w:autoSpaceDE/>
              <w:autoSpaceDN/>
              <w:bidi w:val="0"/>
              <w:adjustRightInd/>
              <w:snapToGrid w:val="0"/>
              <w:spacing w:line="240" w:lineRule="auto"/>
              <w:rPr>
                <w:rFonts w:ascii="仿宋_GB2312" w:hAnsi="仿宋_GB2312" w:eastAsia="仿宋_GB2312" w:cs="仿宋_GB2312"/>
                <w:color w:val="auto"/>
                <w:sz w:val="20"/>
                <w:szCs w:val="20"/>
              </w:rPr>
            </w:pPr>
            <w:r>
              <w:rPr>
                <w:rFonts w:hint="eastAsia" w:ascii="黑体" w:hAnsi="黑体" w:eastAsia="黑体" w:cs="黑体"/>
                <w:color w:val="auto"/>
                <w:kern w:val="0"/>
                <w:sz w:val="20"/>
                <w:szCs w:val="20"/>
                <w:lang w:bidi="ar"/>
              </w:rPr>
              <w:t>说明：</w:t>
            </w:r>
            <w:r>
              <w:rPr>
                <w:rFonts w:hint="eastAsia" w:ascii="仿宋_GB2312" w:hAnsi="仿宋_GB2312" w:eastAsia="仿宋_GB2312" w:cs="仿宋_GB2312"/>
                <w:color w:val="auto"/>
                <w:kern w:val="0"/>
                <w:sz w:val="20"/>
                <w:szCs w:val="20"/>
                <w:lang w:bidi="ar"/>
              </w:rPr>
              <w:t>1.*是必填项，产出指标4个二级指标必填写。效益指标可选填其中某几个指标。</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 xml:space="preserve">     </w:t>
            </w:r>
            <w:r>
              <w:rPr>
                <w:rFonts w:ascii="仿宋_GB2312" w:hAnsi="仿宋_GB2312" w:eastAsia="仿宋_GB2312" w:cs="仿宋_GB2312"/>
                <w:color w:val="auto"/>
                <w:kern w:val="0"/>
                <w:sz w:val="20"/>
                <w:szCs w:val="20"/>
                <w:lang w:bidi="ar"/>
              </w:rPr>
              <w:t xml:space="preserve"> </w:t>
            </w:r>
            <w:r>
              <w:rPr>
                <w:rFonts w:hint="eastAsia" w:ascii="仿宋_GB2312" w:hAnsi="仿宋_GB2312" w:eastAsia="仿宋_GB2312" w:cs="仿宋_GB2312"/>
                <w:color w:val="auto"/>
                <w:kern w:val="0"/>
                <w:sz w:val="20"/>
                <w:szCs w:val="20"/>
                <w:lang w:bidi="ar"/>
              </w:rPr>
              <w:t>2.红色字体的内容为举例，其中部分三级指标和指标值来源于不同一</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p>
        </w:tc>
      </w:tr>
    </w:tbl>
    <w:p>
      <w:pPr>
        <w:rPr>
          <w:color w:val="auto"/>
        </w:rPr>
        <w:sectPr>
          <w:pgSz w:w="16838" w:h="11906"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十二、市场、技术、政策风险分析及对策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十三、</w:t>
      </w:r>
      <w:r>
        <w:rPr>
          <w:rFonts w:hint="eastAsia" w:ascii="黑体" w:hAnsi="黑体" w:eastAsia="黑体" w:cs="黑体"/>
          <w:b w:val="0"/>
          <w:bCs/>
          <w:color w:val="auto"/>
          <w:kern w:val="0"/>
          <w:sz w:val="32"/>
          <w:szCs w:val="32"/>
        </w:rPr>
        <w:t>相关利益关</w:t>
      </w:r>
      <w:r>
        <w:rPr>
          <w:rFonts w:hint="eastAsia" w:ascii="黑体" w:hAnsi="黑体" w:eastAsia="黑体" w:cs="黑体"/>
          <w:bCs/>
          <w:color w:val="auto"/>
          <w:kern w:val="0"/>
          <w:sz w:val="32"/>
          <w:szCs w:val="32"/>
        </w:rPr>
        <w:t>联关系情况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十四、</w:t>
      </w:r>
      <w:r>
        <w:rPr>
          <w:rFonts w:hint="eastAsia" w:ascii="黑体" w:hAnsi="黑体" w:eastAsia="黑体" w:cs="黑体"/>
          <w:bCs/>
          <w:color w:val="auto"/>
          <w:kern w:val="0"/>
          <w:sz w:val="32"/>
          <w:szCs w:val="32"/>
          <w:lang w:eastAsia="zh-Hans"/>
        </w:rPr>
        <w:t>承担单位</w:t>
      </w:r>
      <w:r>
        <w:rPr>
          <w:rFonts w:hint="eastAsia" w:ascii="黑体" w:hAnsi="黑体" w:eastAsia="黑体" w:cs="黑体"/>
          <w:bCs/>
          <w:color w:val="auto"/>
          <w:kern w:val="0"/>
          <w:sz w:val="32"/>
          <w:szCs w:val="32"/>
        </w:rPr>
        <w:t>意见</w:t>
      </w:r>
    </w:p>
    <w:tbl>
      <w:tblPr>
        <w:tblStyle w:val="8"/>
        <w:tblW w:w="9060"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906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Hans"/>
              </w:rPr>
              <w:t>（课题）</w:t>
            </w:r>
            <w:r>
              <w:rPr>
                <w:rFonts w:hint="eastAsia" w:ascii="仿宋_GB2312" w:hAnsi="仿宋_GB2312" w:eastAsia="仿宋_GB2312" w:cs="仿宋_GB2312"/>
                <w:color w:val="auto"/>
                <w:sz w:val="24"/>
                <w:szCs w:val="24"/>
              </w:rPr>
              <w:t>承担单位意见：</w:t>
            </w:r>
          </w:p>
          <w:p>
            <w:pPr>
              <w:keepNext w:val="0"/>
              <w:keepLines w:val="0"/>
              <w:pageBreakBefore w:val="0"/>
              <w:widowControl w:val="0"/>
              <w:kinsoku/>
              <w:wordWrap/>
              <w:overflowPunct/>
              <w:topLinePunct w:val="0"/>
              <w:autoSpaceDE/>
              <w:autoSpaceDN/>
              <w:bidi w:val="0"/>
              <w:adjustRightInd w:val="0"/>
              <w:snapToGrid w:val="0"/>
              <w:spacing w:line="360" w:lineRule="exact"/>
              <w:ind w:left="288"/>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牵头承担单位（公章）：</w:t>
            </w:r>
          </w:p>
          <w:p>
            <w:pPr>
              <w:keepNext w:val="0"/>
              <w:keepLines w:val="0"/>
              <w:pageBreakBefore w:val="0"/>
              <w:widowControl w:val="0"/>
              <w:kinsoku/>
              <w:wordWrap/>
              <w:overflowPunct/>
              <w:topLinePunct w:val="0"/>
              <w:autoSpaceDE/>
              <w:autoSpaceDN/>
              <w:bidi w:val="0"/>
              <w:adjustRightInd w:val="0"/>
              <w:snapToGrid w:val="0"/>
              <w:spacing w:line="360" w:lineRule="exact"/>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exact"/>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参与单位（公章）：</w:t>
            </w:r>
          </w:p>
          <w:p>
            <w:pPr>
              <w:keepNext w:val="0"/>
              <w:keepLines w:val="0"/>
              <w:pageBreakBefore w:val="0"/>
              <w:widowControl w:val="0"/>
              <w:kinsoku/>
              <w:wordWrap/>
              <w:overflowPunct/>
              <w:topLinePunct w:val="0"/>
              <w:autoSpaceDE/>
              <w:autoSpaceDN/>
              <w:bidi w:val="0"/>
              <w:adjustRightInd w:val="0"/>
              <w:snapToGrid w:val="0"/>
              <w:spacing w:line="360" w:lineRule="exact"/>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自筹资金出资单位意见（承诺提供配套支持的情况下签署意见）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本单位根据</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项目立项指南的要求，自愿提交项目（课题）申请书，在此郑重承诺：按照前述项目（课题）批复预算经费的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万元）进行自筹配套。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如有违反，本单位愿接受广东省农业农村厅做出的各项处理决定，包括但不限于停拨或核减资金，追回</w:t>
            </w:r>
            <w:r>
              <w:rPr>
                <w:rFonts w:hint="eastAsia" w:ascii="仿宋_GB2312" w:hAnsi="仿宋_GB2312" w:eastAsia="仿宋_GB2312" w:cs="仿宋_GB2312"/>
                <w:color w:val="auto"/>
                <w:sz w:val="24"/>
                <w:szCs w:val="24"/>
                <w:lang w:eastAsia="zh-Hans"/>
              </w:rPr>
              <w:t>项目（课题）</w:t>
            </w:r>
            <w:r>
              <w:rPr>
                <w:rFonts w:hint="eastAsia" w:ascii="仿宋_GB2312" w:hAnsi="仿宋_GB2312" w:eastAsia="仿宋_GB2312" w:cs="仿宋_GB2312"/>
                <w:color w:val="auto"/>
                <w:sz w:val="24"/>
                <w:szCs w:val="24"/>
              </w:rPr>
              <w:t>资金，取消一定期限</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项目申报资格，记入</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诚信异常名录等。</w:t>
            </w:r>
          </w:p>
          <w:p>
            <w:pPr>
              <w:keepNext w:val="0"/>
              <w:keepLines w:val="0"/>
              <w:pageBreakBefore w:val="0"/>
              <w:widowControl w:val="0"/>
              <w:kinsoku/>
              <w:wordWrap/>
              <w:overflowPunct/>
              <w:topLinePunct w:val="0"/>
              <w:autoSpaceDE/>
              <w:autoSpaceDN/>
              <w:bidi w:val="0"/>
              <w:adjustRightInd w:val="0"/>
              <w:snapToGrid w:val="0"/>
              <w:spacing w:line="360" w:lineRule="exact"/>
              <w:ind w:firstLine="4560" w:firstLineChars="1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出资单位（盖章）：</w:t>
            </w:r>
          </w:p>
          <w:p>
            <w:pPr>
              <w:keepNext w:val="0"/>
              <w:keepLines w:val="0"/>
              <w:pageBreakBefore w:val="0"/>
              <w:widowControl w:val="0"/>
              <w:kinsoku/>
              <w:wordWrap/>
              <w:overflowPunct/>
              <w:topLinePunct w:val="0"/>
              <w:autoSpaceDE/>
              <w:autoSpaceDN/>
              <w:bidi w:val="0"/>
              <w:adjustRightInd w:val="0"/>
              <w:snapToGrid w:val="0"/>
              <w:spacing w:line="360" w:lineRule="exact"/>
              <w:ind w:firstLine="4320" w:firstLineChars="18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广东省农业农村厅种业振兴行动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i w:val="0"/>
          <w:i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（专项）申报书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i w:val="0"/>
          <w:iCs w:val="0"/>
          <w:snapToGrid w:val="0"/>
          <w:color w:val="auto"/>
          <w:kern w:val="0"/>
          <w:sz w:val="32"/>
          <w:szCs w:val="32"/>
        </w:rPr>
      </w:pPr>
      <w:r>
        <w:rPr>
          <w:rFonts w:hint="eastAsia" w:ascii="黑体" w:hAnsi="黑体" w:eastAsia="黑体" w:cs="黑体"/>
          <w:b w:val="0"/>
          <w:bCs w:val="0"/>
          <w:i w:val="0"/>
          <w:iCs w:val="0"/>
          <w:snapToGrid w:val="0"/>
          <w:color w:val="auto"/>
          <w:kern w:val="0"/>
          <w:sz w:val="32"/>
          <w:szCs w:val="32"/>
        </w:rPr>
        <w:t>一、编制规范性要求：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金额单位和数据精度：预算表中的数据以“万元”为单位，精确到小数点后两位。外币需按中国人民银行公布的即期汇率折合成人民币。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编码与数据平衡关系：预算申报书中有关编码应填写准确，数据之间满足有关的平衡关系，预算汇总表、预算明细表、预算说明中的数据应前后一致。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名称的规范性：承担单位的名称，应填写正式全称，承担单位名称、单位开户名称与单位公章必须一致。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如开户名称不一致，承担单位必须提供证明文件，证明开户单位与承担单位是同一家单位。设备、材料等实物信息应填写规范的名称，重复出现时应前后保持一致。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签字盖章：项目（课题）支出预算申报书必须经牵头承担单位、负责人等签字或盖章。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i w:val="0"/>
          <w:iCs w:val="0"/>
          <w:snapToGrid w:val="0"/>
          <w:color w:val="auto"/>
          <w:kern w:val="0"/>
          <w:sz w:val="32"/>
          <w:szCs w:val="32"/>
        </w:rPr>
      </w:pPr>
      <w:r>
        <w:rPr>
          <w:rFonts w:hint="eastAsia" w:ascii="黑体" w:hAnsi="黑体" w:eastAsia="黑体" w:cs="黑体"/>
          <w:b w:val="0"/>
          <w:bCs w:val="0"/>
          <w:i w:val="0"/>
          <w:iCs w:val="0"/>
          <w:snapToGrid w:val="0"/>
          <w:color w:val="auto"/>
          <w:kern w:val="0"/>
          <w:sz w:val="32"/>
          <w:szCs w:val="32"/>
        </w:rPr>
        <w:t>二、具体申报书填写说明：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一</w:t>
      </w:r>
      <w:r>
        <w:rPr>
          <w:rFonts w:hint="eastAsia" w:ascii="楷体_GB2312" w:hAnsi="楷体_GB2312" w:eastAsia="楷体_GB2312" w:cs="楷体_GB2312"/>
          <w:b w:val="0"/>
          <w:bCs w:val="0"/>
          <w:i w:val="0"/>
          <w:iCs w:val="0"/>
          <w:snapToGrid w:val="0"/>
          <w:color w:val="auto"/>
          <w:kern w:val="0"/>
          <w:sz w:val="32"/>
          <w:szCs w:val="32"/>
        </w:rPr>
        <w:t>）封面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项目（课题）名称”、“所属项目”应根据广东省相关申报指南程序确定的有关信息填报。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“申报单位”必须填写牵头承担单位全称，并与单位公章一致。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“项目（课题）负责人”应该按规定签字盖章。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“申报日期”按规定填报。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二</w:t>
      </w:r>
      <w:r>
        <w:rPr>
          <w:rFonts w:hint="eastAsia" w:ascii="楷体_GB2312" w:hAnsi="楷体_GB2312" w:eastAsia="楷体_GB2312" w:cs="楷体_GB2312"/>
          <w:b w:val="0"/>
          <w:bCs w:val="0"/>
          <w:i w:val="0"/>
          <w:iCs w:val="0"/>
          <w:snapToGrid w:val="0"/>
          <w:color w:val="auto"/>
          <w:kern w:val="0"/>
          <w:sz w:val="32"/>
          <w:szCs w:val="32"/>
        </w:rPr>
        <w:t>）承诺书、知识产权合规性声明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项目（课题）牵头承担单位、负责人需对项目（课题）预</w:t>
      </w:r>
      <w:r>
        <w:rPr>
          <w:rFonts w:hint="eastAsia" w:ascii="仿宋_GB2312" w:hAnsi="仿宋_GB2312" w:eastAsia="仿宋_GB2312" w:cs="仿宋_GB2312"/>
          <w:i w:val="0"/>
          <w:iCs w:val="0"/>
          <w:snapToGrid w:val="0"/>
          <w:color w:val="auto"/>
          <w:spacing w:val="0"/>
          <w:kern w:val="0"/>
          <w:sz w:val="32"/>
          <w:szCs w:val="32"/>
        </w:rPr>
        <w:t>算申报书各项内容的真实、客观负责，并在承诺书上签字或盖章</w:t>
      </w:r>
      <w:r>
        <w:rPr>
          <w:rFonts w:hint="eastAsia" w:ascii="仿宋_GB2312" w:hAnsi="仿宋_GB2312" w:eastAsia="仿宋_GB2312" w:cs="仿宋_GB2312"/>
          <w:i w:val="0"/>
          <w:iCs w:val="0"/>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三</w:t>
      </w:r>
      <w:r>
        <w:rPr>
          <w:rFonts w:hint="eastAsia" w:ascii="楷体_GB2312" w:hAnsi="楷体_GB2312" w:eastAsia="楷体_GB2312" w:cs="楷体_GB2312"/>
          <w:b w:val="0"/>
          <w:bCs w:val="0"/>
          <w:i w:val="0"/>
          <w:iCs w:val="0"/>
          <w:snapToGrid w:val="0"/>
          <w:color w:val="auto"/>
          <w:kern w:val="0"/>
          <w:sz w:val="32"/>
          <w:szCs w:val="32"/>
        </w:rPr>
        <w:t>）表A1：项目（课题）牵头承担单位基本情况表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“项目（课题）牵头承担单位”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应填写牵头承担单位全称，必须与单位公章一致。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“单位开户名称”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单位开户名称应与单位名称一致，如有开户名称不一致等特殊情况，必须提供证明文件。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“单位主管部门”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“开户银行”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开户银行的信息必须填写全面，必须写明银行所在省、市等信息。填写顺序为：××银行××省（直辖市、自治区）××市（县）××支行（分行）××分理处（营业部等）。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5</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“银行账号”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银行账号必须经牵头承担单位财务部门确认，应填列单位基本账户，不能填报零余额账户。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6</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“银行机构代码”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7</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项目（课题）负责人、项目（课题）联系人和财务负责人的电话号码和手机号码、电子邮箱、微信号必须真实、准确。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四</w:t>
      </w:r>
      <w:r>
        <w:rPr>
          <w:rFonts w:hint="eastAsia" w:ascii="楷体_GB2312" w:hAnsi="楷体_GB2312" w:eastAsia="楷体_GB2312" w:cs="楷体_GB2312"/>
          <w:b w:val="0"/>
          <w:bCs w:val="0"/>
          <w:i w:val="0"/>
          <w:iCs w:val="0"/>
          <w:snapToGrid w:val="0"/>
          <w:color w:val="auto"/>
          <w:kern w:val="0"/>
          <w:sz w:val="32"/>
          <w:szCs w:val="32"/>
        </w:rPr>
        <w:t>）表B1：项目（课题）参与单位基本情况表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“项目（课题）名称”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项目（课题）名称应根据申报指南有关信息填报，项目（课题）名称应为全称。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“项目（课题）参与单位”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参与单位应填写全称，必须与单位公章一致。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3</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“单位主管部门”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4</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参与单位负责人、参与单位联系人和财务负责人的电话号码和手机号码、电子邮箱、微信号必须真实、准确，预算管理过程中将以电话、电子邮件、短信、微信等方式与相关人员进行联络。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五</w:t>
      </w:r>
      <w:r>
        <w:rPr>
          <w:rFonts w:hint="eastAsia" w:ascii="楷体_GB2312" w:hAnsi="楷体_GB2312" w:eastAsia="楷体_GB2312" w:cs="楷体_GB2312"/>
          <w:b w:val="0"/>
          <w:bCs w:val="0"/>
          <w:i w:val="0"/>
          <w:iCs w:val="0"/>
          <w:snapToGrid w:val="0"/>
          <w:color w:val="auto"/>
          <w:kern w:val="0"/>
          <w:sz w:val="32"/>
          <w:szCs w:val="32"/>
        </w:rPr>
        <w:t>）表B2：项目（课题）成员基本情况表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本表按参加项目（课题）的各类人员分别填列，一名人员投入本项目（课题）的累计全时工作时间不得超过本项目（课题）的预算期。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1</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“固定人员”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固定人员指全程参与项目（课题）的人员，按技术职称分为：A、正高级；B、副高级；C、中级；D、初级；E、其他。按所承担的任务分为：A、负责人；B、骨干；C、其他人员。固定人员需按本表所列要求填写明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2</w:t>
      </w:r>
      <w:r>
        <w:rPr>
          <w:rFonts w:hint="eastAsia" w:ascii="仿宋_GB2312" w:hAnsi="仿宋_GB2312" w:eastAsia="仿宋_GB2312" w:cs="仿宋_GB2312"/>
          <w:i w:val="0"/>
          <w:iCs w:val="0"/>
          <w:snapToGrid w:val="0"/>
          <w:color w:val="auto"/>
          <w:kern w:val="0"/>
          <w:sz w:val="32"/>
          <w:szCs w:val="32"/>
          <w:lang w:eastAsia="zh-Hans"/>
        </w:rPr>
        <w:t>.</w:t>
      </w:r>
      <w:r>
        <w:rPr>
          <w:rFonts w:hint="eastAsia" w:ascii="仿宋_GB2312" w:hAnsi="仿宋_GB2312" w:eastAsia="仿宋_GB2312" w:cs="仿宋_GB2312"/>
          <w:i w:val="0"/>
          <w:iCs w:val="0"/>
          <w:snapToGrid w:val="0"/>
          <w:color w:val="auto"/>
          <w:kern w:val="0"/>
          <w:sz w:val="32"/>
          <w:szCs w:val="32"/>
        </w:rPr>
        <w:t>“流动人员或临时聘用人员”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流动人员或临时聘用人员不需要填写明细，只需填写该类人员投入本项目（课题）的总人月数。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六</w:t>
      </w:r>
      <w:r>
        <w:rPr>
          <w:rFonts w:hint="eastAsia" w:ascii="楷体_GB2312" w:hAnsi="楷体_GB2312" w:eastAsia="楷体_GB2312" w:cs="楷体_GB2312"/>
          <w:b w:val="0"/>
          <w:bCs w:val="0"/>
          <w:i w:val="0"/>
          <w:iCs w:val="0"/>
          <w:snapToGrid w:val="0"/>
          <w:color w:val="auto"/>
          <w:kern w:val="0"/>
          <w:sz w:val="32"/>
          <w:szCs w:val="32"/>
        </w:rPr>
        <w:t>）表B3：项目（课题）预算表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本表反映了广东省农业科研类及技术推广示范类项目（专项）资金预算的整体情况。资金支出和资金来源应同时编制。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七</w:t>
      </w:r>
      <w:r>
        <w:rPr>
          <w:rFonts w:hint="eastAsia" w:ascii="楷体_GB2312" w:hAnsi="楷体_GB2312" w:eastAsia="楷体_GB2312" w:cs="楷体_GB2312"/>
          <w:b w:val="0"/>
          <w:bCs w:val="0"/>
          <w:i w:val="0"/>
          <w:iCs w:val="0"/>
          <w:snapToGrid w:val="0"/>
          <w:color w:val="auto"/>
          <w:kern w:val="0"/>
          <w:sz w:val="32"/>
          <w:szCs w:val="32"/>
        </w:rPr>
        <w:t>）表B4至表B19：支出科目预算明细表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b/>
          <w:bCs/>
          <w:i w:val="0"/>
          <w:iCs w:val="0"/>
          <w:snapToGrid w:val="0"/>
          <w:color w:val="auto"/>
          <w:kern w:val="0"/>
          <w:sz w:val="32"/>
          <w:szCs w:val="32"/>
        </w:rPr>
        <w:t>表B4至表B19预算科目支出填写说明：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本部分是预算说明的重点，若在同一科目既有省级财政专项资金预算又有其他渠道资金预算，应对省级财政专项资金和其他渠道资金分别说明。项目（课题）资金由直接费用和间接费用组成。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i w:val="0"/>
          <w:iCs w:val="0"/>
          <w:snapToGrid w:val="0"/>
          <w:color w:val="auto"/>
          <w:kern w:val="0"/>
          <w:sz w:val="32"/>
          <w:szCs w:val="32"/>
        </w:rPr>
      </w:pPr>
      <w:r>
        <w:rPr>
          <w:rFonts w:hint="eastAsia" w:ascii="楷体_GB2312" w:hAnsi="楷体_GB2312" w:eastAsia="楷体_GB2312" w:cs="楷体_GB2312"/>
          <w:b w:val="0"/>
          <w:bCs w:val="0"/>
          <w:i w:val="0"/>
          <w:iCs w:val="0"/>
          <w:snapToGrid w:val="0"/>
          <w:color w:val="auto"/>
          <w:kern w:val="0"/>
          <w:sz w:val="32"/>
          <w:szCs w:val="32"/>
        </w:rPr>
        <w:t>（</w:t>
      </w:r>
      <w:r>
        <w:rPr>
          <w:rFonts w:hint="eastAsia" w:ascii="楷体_GB2312" w:hAnsi="楷体_GB2312" w:eastAsia="楷体_GB2312" w:cs="楷体_GB2312"/>
          <w:b w:val="0"/>
          <w:bCs w:val="0"/>
          <w:i w:val="0"/>
          <w:iCs w:val="0"/>
          <w:snapToGrid w:val="0"/>
          <w:color w:val="auto"/>
          <w:kern w:val="0"/>
          <w:sz w:val="32"/>
          <w:szCs w:val="32"/>
          <w:lang w:eastAsia="zh-Hans"/>
        </w:rPr>
        <w:t>八</w:t>
      </w:r>
      <w:r>
        <w:rPr>
          <w:rFonts w:hint="eastAsia" w:ascii="楷体_GB2312" w:hAnsi="楷体_GB2312" w:eastAsia="楷体_GB2312" w:cs="楷体_GB2312"/>
          <w:b w:val="0"/>
          <w:bCs w:val="0"/>
          <w:i w:val="0"/>
          <w:iCs w:val="0"/>
          <w:snapToGrid w:val="0"/>
          <w:color w:val="auto"/>
          <w:kern w:val="0"/>
          <w:sz w:val="32"/>
          <w:szCs w:val="32"/>
        </w:rPr>
        <w:t>）表B20：承担单位资金支出预算明细表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snapToGrid w:val="0"/>
          <w:color w:val="auto"/>
          <w:kern w:val="0"/>
          <w:sz w:val="32"/>
          <w:szCs w:val="32"/>
        </w:rPr>
      </w:pPr>
      <w:r>
        <w:rPr>
          <w:rFonts w:hint="eastAsia" w:ascii="仿宋_GB2312" w:hAnsi="仿宋_GB2312" w:eastAsia="仿宋_GB2312" w:cs="仿宋_GB2312"/>
          <w:i w:val="0"/>
          <w:iCs w:val="0"/>
          <w:snapToGrid w:val="0"/>
          <w:color w:val="auto"/>
          <w:kern w:val="0"/>
          <w:sz w:val="32"/>
          <w:szCs w:val="32"/>
        </w:rPr>
        <w:t>本表反映共同参与任务实施的各单位预算情况，需简要说明所有单位分别承担的任务和资金安排。各单位名称、承担任务及任务负责人等信息应与项目立项申报材料一致。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i w:val="0"/>
          <w:iCs w:val="0"/>
          <w:snapToGrid w:val="0"/>
          <w:color w:val="auto"/>
          <w:kern w:val="0"/>
          <w:sz w:val="32"/>
          <w:szCs w:val="32"/>
        </w:rPr>
        <w:t>所有承担单位均需填入表B20中。执行过程中，牵头承担单位、参与单位不得随意增加或减少参与单位，不得向表中未填列的单位转拨省级财政专项资金</w:t>
      </w:r>
      <w:r>
        <w:rPr>
          <w:rFonts w:hint="eastAsia" w:ascii="仿宋_GB2312" w:hAnsi="仿宋_GB2312" w:eastAsia="仿宋_GB2312" w:cs="仿宋_GB2312"/>
          <w:i w:val="0"/>
          <w:iCs w:val="0"/>
          <w:snapToGrid w:val="0"/>
          <w:color w:val="auto"/>
          <w:kern w:val="0"/>
          <w:sz w:val="32"/>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细圆B5">
    <w:altName w:val="Microsoft JhengHei"/>
    <w:panose1 w:val="02010600000101010101"/>
    <w:charset w:val="88"/>
    <w:family w:val="auto"/>
    <w:pitch w:val="default"/>
    <w:sig w:usb0="00000000" w:usb1="00000000" w:usb2="00000002" w:usb3="00000000" w:csb0="00100000" w:csb1="00000000"/>
  </w:font>
  <w:font w:name="楷体_GB2312">
    <w:altName w:val="楷体"/>
    <w:panose1 w:val="02010609030101010101"/>
    <w:charset w:val="86"/>
    <w:family w:val="auto"/>
    <w:pitch w:val="default"/>
    <w:sig w:usb0="00000000" w:usb1="00000000" w:usb2="00000000" w:usb3="00000000" w:csb0="00040000" w:csb1="00000000"/>
  </w:font>
  <w:font w:name="长城小标宋体">
    <w:altName w:val="宋体"/>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val="en-US" w:eastAsia="zh-CN"/>
      </w:rPr>
    </w:pPr>
  </w:p>
  <w:p>
    <w:pPr>
      <w:pStyle w:val="6"/>
      <w:rPr>
        <w:rFonts w:hint="eastAsia" w:eastAsia="宋体"/>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7E351"/>
    <w:multiLevelType w:val="singleLevel"/>
    <w:tmpl w:val="6007E3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7B90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4">
    <w:name w:val="heading 2"/>
    <w:basedOn w:val="1"/>
    <w:next w:val="1"/>
    <w:unhideWhenUsed/>
    <w:qFormat/>
    <w:uiPriority w:val="0"/>
    <w:pPr>
      <w:ind w:firstLine="0" w:firstLineChars="0"/>
      <w:outlineLvl w:val="1"/>
    </w:pPr>
    <w:rPr>
      <w:rFonts w:ascii="楷体" w:hAnsi="楷体" w:eastAsia="宋体" w:cs="楷体"/>
      <w:b/>
      <w:bCs/>
      <w:sz w:val="30"/>
      <w:szCs w:val="30"/>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rPr>
      <w:rFonts w:ascii="Calibri" w:hAnsi="Calibri" w:eastAsia="宋体" w:cs="Times New Roman"/>
      <w:sz w:val="21"/>
      <w:szCs w:val="24"/>
    </w:rPr>
  </w:style>
  <w:style w:type="paragraph" w:styleId="5">
    <w:name w:val="Plain Text"/>
    <w:basedOn w:val="1"/>
    <w:qFormat/>
    <w:uiPriority w:val="0"/>
    <w:pPr>
      <w:adjustRightInd w:val="0"/>
      <w:snapToGrid w:val="0"/>
      <w:spacing w:line="360" w:lineRule="auto"/>
      <w:ind w:firstLine="640" w:firstLineChars="200"/>
    </w:pPr>
    <w:rPr>
      <w:rFonts w:ascii="宋体"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qFormat/>
    <w:uiPriority w:val="0"/>
    <w:rPr>
      <w:rFonts w:hint="eastAsia" w:ascii="仿宋_GB2312" w:hAnsi="Times New Roman"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2023-11-09T10:45:02Z</dcterms:created>
  <dc:creator>Rinco</dc:creator>
  <cp:lastModifiedBy>One</cp:lastModifiedBy>
  <dcterms:modified xsi:type="dcterms:W3CDTF">2023-11-09T10:45:13Z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8BD868DDC36C44A1B89B614274B67344_12</vt:lpwstr>
  </property>
</Properties>
</file>